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B21BE">
      <w:pPr>
        <w:tabs>
          <w:tab w:val="left" w:pos="4395"/>
        </w:tabs>
        <w:spacing w:line="460" w:lineRule="exact"/>
        <w:rPr>
          <w:rFonts w:hint="default" w:ascii="Times New Roman" w:hAnsi="Times New Roman" w:eastAsia="黑体" w:cs="Times New Roman"/>
          <w:b w:val="0"/>
          <w:bCs w:val="0"/>
          <w:kern w:val="2"/>
          <w:sz w:val="32"/>
          <w:szCs w:val="32"/>
          <w:lang w:val="en-US" w:eastAsia="zh-CN"/>
        </w:rPr>
      </w:pPr>
    </w:p>
    <w:p w14:paraId="189847EE">
      <w:pPr>
        <w:pStyle w:val="2"/>
        <w:spacing w:before="0" w:after="0" w:line="460" w:lineRule="exact"/>
        <w:jc w:val="center"/>
        <w:rPr>
          <w:rFonts w:hint="default" w:ascii="Times New Roman" w:hAnsi="Times New Roman" w:eastAsia="方正小标宋简体" w:cs="Times New Roman"/>
          <w:b w:val="0"/>
          <w:bCs w:val="0"/>
          <w:kern w:val="2"/>
          <w:sz w:val="44"/>
          <w:szCs w:val="44"/>
          <w:lang w:eastAsia="zh-CN"/>
        </w:rPr>
      </w:pPr>
      <w:r>
        <w:rPr>
          <w:rFonts w:hint="default" w:ascii="Times New Roman" w:hAnsi="Times New Roman" w:eastAsia="方正小标宋简体" w:cs="Times New Roman"/>
          <w:b w:val="0"/>
          <w:bCs w:val="0"/>
          <w:kern w:val="2"/>
          <w:sz w:val="44"/>
          <w:szCs w:val="44"/>
          <w:lang w:val="en-US" w:eastAsia="zh-CN"/>
        </w:rPr>
        <w:t>政治监督报告指出</w:t>
      </w:r>
      <w:r>
        <w:rPr>
          <w:rFonts w:hint="default" w:ascii="Times New Roman" w:hAnsi="Times New Roman" w:eastAsia="方正小标宋简体" w:cs="Times New Roman"/>
          <w:b w:val="0"/>
          <w:bCs w:val="0"/>
          <w:kern w:val="2"/>
          <w:sz w:val="44"/>
          <w:szCs w:val="44"/>
          <w:lang w:eastAsia="zh-CN"/>
        </w:rPr>
        <w:t>的政务服务增值化改革</w:t>
      </w:r>
    </w:p>
    <w:p w14:paraId="02E5EFCA">
      <w:pPr>
        <w:pStyle w:val="2"/>
        <w:spacing w:line="560" w:lineRule="exact"/>
        <w:jc w:val="center"/>
        <w:rPr>
          <w:rFonts w:hint="default" w:ascii="Times New Roman" w:hAnsi="Times New Roman" w:eastAsia="方正小标宋简体" w:cs="Times New Roman"/>
          <w:b w:val="0"/>
          <w:bCs w:val="0"/>
          <w:kern w:val="2"/>
          <w:sz w:val="44"/>
          <w:szCs w:val="44"/>
          <w:lang w:eastAsia="zh-CN"/>
        </w:rPr>
      </w:pPr>
      <w:r>
        <w:rPr>
          <w:rFonts w:hint="eastAsia" w:ascii="Times New Roman" w:hAnsi="Times New Roman" w:eastAsia="方正小标宋简体" w:cs="Times New Roman"/>
          <w:b w:val="0"/>
          <w:bCs w:val="0"/>
          <w:kern w:val="2"/>
          <w:sz w:val="44"/>
          <w:szCs w:val="44"/>
          <w:lang w:eastAsia="zh-CN"/>
        </w:rPr>
        <w:t>有关</w:t>
      </w:r>
      <w:r>
        <w:rPr>
          <w:rFonts w:hint="default" w:ascii="Times New Roman" w:hAnsi="Times New Roman" w:eastAsia="方正小标宋简体" w:cs="Times New Roman"/>
          <w:b w:val="0"/>
          <w:bCs w:val="0"/>
          <w:kern w:val="2"/>
          <w:sz w:val="44"/>
          <w:szCs w:val="44"/>
          <w:lang w:eastAsia="zh-CN"/>
        </w:rPr>
        <w:t>问题整改责任分解表</w:t>
      </w:r>
    </w:p>
    <w:p w14:paraId="5E33C628">
      <w:pPr>
        <w:rPr>
          <w:rFonts w:hint="default"/>
          <w:lang w:val="en-US" w:eastAsia="zh-CN"/>
        </w:rPr>
      </w:pPr>
    </w:p>
    <w:tbl>
      <w:tblPr>
        <w:tblStyle w:val="7"/>
        <w:tblW w:w="14155"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3330"/>
        <w:gridCol w:w="1651"/>
        <w:gridCol w:w="8315"/>
      </w:tblGrid>
      <w:tr w14:paraId="0526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trPr>
        <w:tc>
          <w:tcPr>
            <w:tcW w:w="859" w:type="dxa"/>
            <w:tcBorders>
              <w:tl2br w:val="nil"/>
              <w:tr2bl w:val="nil"/>
            </w:tcBorders>
            <w:noWrap w:val="0"/>
            <w:vAlign w:val="center"/>
          </w:tcPr>
          <w:p w14:paraId="1AE4EB9F">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330" w:type="dxa"/>
            <w:tcBorders>
              <w:tl2br w:val="nil"/>
              <w:tr2bl w:val="nil"/>
            </w:tcBorders>
            <w:noWrap w:val="0"/>
            <w:vAlign w:val="center"/>
          </w:tcPr>
          <w:p w14:paraId="61CFA49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w:t>
            </w:r>
            <w:r>
              <w:rPr>
                <w:rStyle w:val="14"/>
                <w:lang w:val="en-US" w:eastAsia="zh-CN" w:bidi="ar"/>
              </w:rPr>
              <w:t>问题</w:t>
            </w:r>
          </w:p>
        </w:tc>
        <w:tc>
          <w:tcPr>
            <w:tcW w:w="1651" w:type="dxa"/>
            <w:tcBorders>
              <w:tl2br w:val="nil"/>
              <w:tr2bl w:val="nil"/>
            </w:tcBorders>
            <w:noWrap w:val="0"/>
            <w:vAlign w:val="center"/>
          </w:tcPr>
          <w:p w14:paraId="252C007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有关建议</w:t>
            </w:r>
          </w:p>
        </w:tc>
        <w:tc>
          <w:tcPr>
            <w:tcW w:w="8315" w:type="dxa"/>
            <w:tcBorders>
              <w:tl2br w:val="nil"/>
              <w:tr2bl w:val="nil"/>
            </w:tcBorders>
            <w:noWrap w:val="0"/>
            <w:vAlign w:val="center"/>
          </w:tcPr>
          <w:p w14:paraId="704CD94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自查自纠和问题办理情况</w:t>
            </w:r>
          </w:p>
        </w:tc>
      </w:tr>
      <w:tr w14:paraId="3478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5" w:hRule="atLeast"/>
        </w:trPr>
        <w:tc>
          <w:tcPr>
            <w:tcW w:w="859" w:type="dxa"/>
            <w:tcBorders>
              <w:tl2br w:val="nil"/>
              <w:tr2bl w:val="nil"/>
            </w:tcBorders>
            <w:noWrap w:val="0"/>
            <w:vAlign w:val="center"/>
          </w:tcPr>
          <w:p w14:paraId="00BAC1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3330" w:type="dxa"/>
            <w:tcBorders>
              <w:tl2br w:val="nil"/>
              <w:tr2bl w:val="nil"/>
            </w:tcBorders>
            <w:noWrap w:val="0"/>
            <w:vAlign w:val="center"/>
          </w:tcPr>
          <w:p w14:paraId="01677505">
            <w:pPr>
              <w:keepNext w:val="0"/>
              <w:keepLines w:val="0"/>
              <w:widowControl/>
              <w:suppressLineNumbers w:val="0"/>
              <w:jc w:val="both"/>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企服中心距离</w:t>
            </w:r>
            <w:r>
              <w:rPr>
                <w:rStyle w:val="15"/>
                <w:rFonts w:eastAsia="仿宋_GB2312"/>
                <w:lang w:val="en-US" w:eastAsia="zh-CN" w:bidi="ar"/>
              </w:rPr>
              <w:t>“</w:t>
            </w:r>
            <w:r>
              <w:rPr>
                <w:rStyle w:val="16"/>
                <w:rFonts w:hAnsi="宋体"/>
                <w:lang w:val="en-US" w:eastAsia="zh-CN" w:bidi="ar"/>
              </w:rPr>
              <w:t>一站式</w:t>
            </w:r>
            <w:r>
              <w:rPr>
                <w:rStyle w:val="15"/>
                <w:rFonts w:eastAsia="仿宋_GB2312"/>
                <w:lang w:val="en-US" w:eastAsia="zh-CN" w:bidi="ar"/>
              </w:rPr>
              <w:t>”</w:t>
            </w:r>
            <w:r>
              <w:rPr>
                <w:rStyle w:val="16"/>
                <w:rFonts w:hAnsi="宋体"/>
                <w:lang w:val="en-US" w:eastAsia="zh-CN" w:bidi="ar"/>
              </w:rPr>
              <w:t>定位还有差距。</w:t>
            </w:r>
            <w:r>
              <w:rPr>
                <w:rStyle w:val="17"/>
                <w:rFonts w:hAnsi="宋体"/>
                <w:lang w:val="en-US" w:eastAsia="zh-CN" w:bidi="ar"/>
              </w:rPr>
              <w:t>各地企业综合服务中心大部分仍停留在建机构、配专班、简单整合服务板块以及接受上门咨询、兜底受理诉求的初级阶段，主动为市场主体分忧、服务的意识和能力还不强，距离</w:t>
            </w:r>
            <w:r>
              <w:rPr>
                <w:rStyle w:val="18"/>
                <w:rFonts w:eastAsia="仿宋_GB2312"/>
                <w:lang w:val="en-US" w:eastAsia="zh-CN" w:bidi="ar"/>
              </w:rPr>
              <w:t>“</w:t>
            </w:r>
            <w:r>
              <w:rPr>
                <w:rStyle w:val="17"/>
                <w:rFonts w:hAnsi="宋体"/>
                <w:lang w:val="en-US" w:eastAsia="zh-CN" w:bidi="ar"/>
              </w:rPr>
              <w:t>满足企业全生命周期需求、赋能产业链高质量发展、推动区域竞争力提升，成为党委政府为企业提供服务的一站式中台枢纽</w:t>
            </w:r>
            <w:r>
              <w:rPr>
                <w:rStyle w:val="18"/>
                <w:rFonts w:eastAsia="仿宋_GB2312"/>
                <w:lang w:val="en-US" w:eastAsia="zh-CN" w:bidi="ar"/>
              </w:rPr>
              <w:t>”</w:t>
            </w:r>
            <w:r>
              <w:rPr>
                <w:rStyle w:val="17"/>
                <w:rFonts w:hAnsi="宋体"/>
                <w:lang w:val="en-US" w:eastAsia="zh-CN" w:bidi="ar"/>
              </w:rPr>
              <w:t>的目标定位差距还比较大。在此情况下，企业很难把企服中心作为</w:t>
            </w:r>
            <w:r>
              <w:rPr>
                <w:rStyle w:val="18"/>
                <w:rFonts w:eastAsia="仿宋_GB2312"/>
                <w:lang w:val="en-US" w:eastAsia="zh-CN" w:bidi="ar"/>
              </w:rPr>
              <w:t>“</w:t>
            </w:r>
            <w:r>
              <w:rPr>
                <w:rStyle w:val="17"/>
                <w:rFonts w:hAnsi="宋体"/>
                <w:lang w:val="en-US" w:eastAsia="zh-CN" w:bidi="ar"/>
              </w:rPr>
              <w:t>进一扇门办所有事</w:t>
            </w:r>
            <w:r>
              <w:rPr>
                <w:rStyle w:val="18"/>
                <w:rFonts w:eastAsia="仿宋_GB2312"/>
                <w:lang w:val="en-US" w:eastAsia="zh-CN" w:bidi="ar"/>
              </w:rPr>
              <w:t>”</w:t>
            </w:r>
            <w:r>
              <w:rPr>
                <w:rStyle w:val="17"/>
                <w:rFonts w:hAnsi="宋体"/>
                <w:lang w:val="en-US" w:eastAsia="zh-CN" w:bidi="ar"/>
              </w:rPr>
              <w:t>的渠道。</w:t>
            </w:r>
          </w:p>
        </w:tc>
        <w:tc>
          <w:tcPr>
            <w:tcW w:w="1651" w:type="dxa"/>
            <w:tcBorders>
              <w:tl2br w:val="nil"/>
              <w:tr2bl w:val="nil"/>
            </w:tcBorders>
            <w:noWrap w:val="0"/>
            <w:vAlign w:val="center"/>
          </w:tcPr>
          <w:p w14:paraId="1EF06FE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请聚焦加快打造“形神效”兼备的企服中心的工作要求，就</w:t>
            </w:r>
            <w:r>
              <w:rPr>
                <w:rStyle w:val="16"/>
                <w:rFonts w:hAnsi="宋体"/>
                <w:lang w:val="en-US" w:eastAsia="zh-CN" w:bidi="ar"/>
              </w:rPr>
              <w:t>企服中心距离“一站式”定位还有差距问题</w:t>
            </w:r>
            <w:r>
              <w:rPr>
                <w:rStyle w:val="17"/>
                <w:rFonts w:hAnsi="宋体"/>
                <w:lang w:val="en-US" w:eastAsia="zh-CN" w:bidi="ar"/>
              </w:rPr>
              <w:t>深入开展研究，制定整改举措，切实抓好落实。</w:t>
            </w:r>
          </w:p>
        </w:tc>
        <w:tc>
          <w:tcPr>
            <w:tcW w:w="8315" w:type="dxa"/>
            <w:tcBorders>
              <w:tl2br w:val="nil"/>
              <w:tr2bl w:val="nil"/>
            </w:tcBorders>
            <w:noWrap w:val="0"/>
            <w:vAlign w:val="center"/>
          </w:tcPr>
          <w:p w14:paraId="2E0AFB46">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自查自纠：</w:t>
            </w:r>
            <w:r>
              <w:rPr>
                <w:rFonts w:hint="eastAsia" w:ascii="仿宋_GB2312" w:hAnsi="仿宋_GB2312" w:eastAsia="仿宋_GB2312" w:cs="仿宋_GB2312"/>
                <w:lang w:val="en-US" w:eastAsia="zh-CN"/>
              </w:rPr>
              <w:t>萧山区企服中心于2024年6月正式挂牌成立，为公益一类事业单位。以萧山区特色产业为导向，设置1+8+X服务体系（即实行一窗受理模式，人才、科技、法治等8个省定增值板块及新电商、公安助企等萧山特色专区服务），进驻190个增值服务事项，提供咨询、受理和诉求兜底及办理服务。企服中心依托“行走的办事大厅”等活动载体，开展外贸企业出海拓市、企业并购重组等培训活动16场，并将增值服务向镇街、园区、平台延伸，主动送服务上门，前往信息港小镇、膜材料小镇、中国视谷三江汇进行市集服务3次，为企业员工提供便利高效的“园区办”“单位办”。但是，按照《省级涉企服务事项清单指导目录 S0》落地要求，仍有部分事项未进驻企服中心，距离“一站式”定位还有一定差距。</w:t>
            </w:r>
          </w:p>
          <w:p w14:paraId="1904C31E">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问题办理情况：</w:t>
            </w:r>
          </w:p>
          <w:p w14:paraId="0E2679B0">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梳理负面清单。对照省级清单，梳理未进驻事项并分析原因，形成负面清单。未进驻事项主要为区人社局劳动权益保障相关事项，目前，事项可在区人社局分中心办理，距离企服中心1公里，且因工作人员紧张，业务专业性强，未派驻人员到企服中心。</w:t>
            </w:r>
          </w:p>
          <w:p w14:paraId="103D73FA">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二是推动事项入驻。针对人社未进驻事项问题，企服中心已与人社局进行对接，计划由已进驻政务服务中心的就业中心工作人员承接劳动权益保障事项，相关工作正在有序推进中。</w:t>
            </w:r>
          </w:p>
          <w:p w14:paraId="424AEC90">
            <w:pPr>
              <w:keepNext w:val="0"/>
              <w:keepLines w:val="0"/>
              <w:widowControl/>
              <w:suppressLineNumbers w:val="0"/>
              <w:jc w:val="left"/>
              <w:textAlignment w:val="center"/>
              <w:rPr>
                <w:rFonts w:hint="default" w:ascii="仿宋" w:hAnsi="仿宋" w:eastAsia="仿宋" w:cs="仿宋"/>
                <w:lang w:val="en-US" w:eastAsia="zh-CN"/>
              </w:rPr>
            </w:pPr>
            <w:r>
              <w:rPr>
                <w:rFonts w:hint="eastAsia" w:ascii="仿宋_GB2312" w:hAnsi="仿宋_GB2312" w:eastAsia="仿宋_GB2312" w:cs="仿宋_GB2312"/>
                <w:lang w:val="en-US" w:eastAsia="zh-CN"/>
              </w:rPr>
              <w:t>三是建立事项动态更新机制。对照省市下发最新的目录清单，按照“应进驻、尽进驻”的要求，及时更新事项清单，编制完善的实施清单要素内容，制定标准化服务流程，并根据业务变化和实施情况动态调整。</w:t>
            </w:r>
          </w:p>
        </w:tc>
      </w:tr>
      <w:tr w14:paraId="5371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6" w:hRule="atLeast"/>
        </w:trPr>
        <w:tc>
          <w:tcPr>
            <w:tcW w:w="859" w:type="dxa"/>
            <w:tcBorders>
              <w:tl2br w:val="nil"/>
              <w:tr2bl w:val="nil"/>
            </w:tcBorders>
            <w:noWrap w:val="0"/>
            <w:vAlign w:val="center"/>
          </w:tcPr>
          <w:p w14:paraId="68833D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3330" w:type="dxa"/>
            <w:tcBorders>
              <w:tl2br w:val="nil"/>
              <w:tr2bl w:val="nil"/>
            </w:tcBorders>
            <w:noWrap w:val="0"/>
            <w:vAlign w:val="center"/>
          </w:tcPr>
          <w:p w14:paraId="29557C90">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涉企服务</w:t>
            </w:r>
            <w:r>
              <w:rPr>
                <w:rStyle w:val="15"/>
                <w:rFonts w:eastAsia="仿宋_GB2312"/>
                <w:lang w:val="en-US" w:eastAsia="zh-CN" w:bidi="ar"/>
              </w:rPr>
              <w:t>“</w:t>
            </w:r>
            <w:r>
              <w:rPr>
                <w:rStyle w:val="16"/>
                <w:rFonts w:hAnsi="宋体"/>
                <w:lang w:val="en-US" w:eastAsia="zh-CN" w:bidi="ar"/>
              </w:rPr>
              <w:t>增值味</w:t>
            </w:r>
            <w:r>
              <w:rPr>
                <w:rStyle w:val="15"/>
                <w:rFonts w:eastAsia="仿宋_GB2312"/>
                <w:lang w:val="en-US" w:eastAsia="zh-CN" w:bidi="ar"/>
              </w:rPr>
              <w:t>”</w:t>
            </w:r>
            <w:r>
              <w:rPr>
                <w:rStyle w:val="16"/>
                <w:rFonts w:hAnsi="宋体"/>
                <w:lang w:val="en-US" w:eastAsia="zh-CN" w:bidi="ar"/>
              </w:rPr>
              <w:t>还不够浓。</w:t>
            </w:r>
            <w:r>
              <w:rPr>
                <w:rStyle w:val="17"/>
                <w:rFonts w:hAnsi="宋体"/>
                <w:lang w:val="en-US" w:eastAsia="zh-CN" w:bidi="ar"/>
              </w:rPr>
              <w:t>服务事项清单存在</w:t>
            </w:r>
            <w:r>
              <w:rPr>
                <w:rStyle w:val="18"/>
                <w:rFonts w:eastAsia="仿宋_GB2312"/>
                <w:lang w:val="en-US" w:eastAsia="zh-CN" w:bidi="ar"/>
              </w:rPr>
              <w:t>“</w:t>
            </w:r>
            <w:r>
              <w:rPr>
                <w:rStyle w:val="17"/>
                <w:rFonts w:hAnsi="宋体"/>
                <w:lang w:val="en-US" w:eastAsia="zh-CN" w:bidi="ar"/>
              </w:rPr>
              <w:t>新瓶装旧酒</w:t>
            </w:r>
            <w:r>
              <w:rPr>
                <w:rStyle w:val="18"/>
                <w:rFonts w:eastAsia="仿宋_GB2312"/>
                <w:lang w:val="en-US" w:eastAsia="zh-CN" w:bidi="ar"/>
              </w:rPr>
              <w:t>”</w:t>
            </w:r>
            <w:r>
              <w:rPr>
                <w:rStyle w:val="17"/>
                <w:rFonts w:hAnsi="宋体"/>
                <w:lang w:val="en-US" w:eastAsia="zh-CN" w:bidi="ar"/>
              </w:rPr>
              <w:t>现象，将原先已经在做的服务包装后纳入增值服务事项，或者简单把政务办相关的咨询辅导、帮办代办等作为</w:t>
            </w:r>
            <w:r>
              <w:rPr>
                <w:rStyle w:val="18"/>
                <w:rFonts w:eastAsia="仿宋_GB2312"/>
                <w:lang w:val="en-US" w:eastAsia="zh-CN" w:bidi="ar"/>
              </w:rPr>
              <w:t>“</w:t>
            </w:r>
            <w:r>
              <w:rPr>
                <w:rStyle w:val="17"/>
                <w:rFonts w:hAnsi="宋体"/>
                <w:lang w:val="en-US" w:eastAsia="zh-CN" w:bidi="ar"/>
              </w:rPr>
              <w:t>一类事</w:t>
            </w:r>
            <w:r>
              <w:rPr>
                <w:rStyle w:val="18"/>
                <w:rFonts w:eastAsia="仿宋_GB2312"/>
                <w:lang w:val="en-US" w:eastAsia="zh-CN" w:bidi="ar"/>
              </w:rPr>
              <w:t>”</w:t>
            </w:r>
            <w:r>
              <w:rPr>
                <w:rStyle w:val="17"/>
                <w:rFonts w:hAnsi="宋体"/>
                <w:lang w:val="en-US" w:eastAsia="zh-CN" w:bidi="ar"/>
              </w:rPr>
              <w:t>增值服务事项，企业获得感</w:t>
            </w:r>
            <w:r>
              <w:rPr>
                <w:rStyle w:val="17"/>
                <w:rFonts w:hAnsi="宋体"/>
                <w:i w:val="0"/>
                <w:iCs w:val="0"/>
                <w:lang w:val="en-US" w:eastAsia="zh-CN" w:bidi="ar"/>
              </w:rPr>
              <w:t>不强</w:t>
            </w:r>
            <w:r>
              <w:rPr>
                <w:rStyle w:val="17"/>
                <w:rFonts w:hint="default" w:ascii="仿宋_GB2312" w:hAnsi="宋体"/>
                <w:i w:val="0"/>
                <w:iCs w:val="0"/>
                <w:lang w:eastAsia="zh-CN" w:bidi="ar"/>
              </w:rPr>
              <w:t>；或</w:t>
            </w:r>
            <w:r>
              <w:rPr>
                <w:rStyle w:val="17"/>
                <w:rFonts w:hint="default" w:hAnsi="宋体"/>
                <w:i w:val="0"/>
                <w:iCs w:val="0"/>
                <w:lang w:val="en-US" w:eastAsia="zh-CN" w:bidi="ar"/>
              </w:rPr>
              <w:t>“生搬硬套”，与当地企业实际需求不相匹配。</w:t>
            </w:r>
          </w:p>
        </w:tc>
        <w:tc>
          <w:tcPr>
            <w:tcW w:w="1651" w:type="dxa"/>
            <w:tcBorders>
              <w:tl2br w:val="nil"/>
              <w:tr2bl w:val="nil"/>
            </w:tcBorders>
            <w:noWrap w:val="0"/>
            <w:vAlign w:val="center"/>
          </w:tcPr>
          <w:p w14:paraId="6D5FCAD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w:t>
            </w:r>
            <w:r>
              <w:rPr>
                <w:rFonts w:hint="default" w:ascii="仿宋_GB2312" w:hAnsi="宋体" w:eastAsia="仿宋_GB2312" w:cs="仿宋_GB2312"/>
                <w:i w:val="0"/>
                <w:iCs w:val="0"/>
                <w:color w:val="000000"/>
                <w:kern w:val="0"/>
                <w:sz w:val="24"/>
                <w:szCs w:val="24"/>
                <w:u w:val="none"/>
                <w:lang w:eastAsia="zh-CN" w:bidi="ar"/>
              </w:rPr>
              <w:t>结合本地事项清单梳理工作</w:t>
            </w:r>
            <w:r>
              <w:rPr>
                <w:rFonts w:hint="eastAsia" w:ascii="仿宋_GB2312" w:hAnsi="宋体" w:eastAsia="仿宋_GB2312" w:cs="仿宋_GB2312"/>
                <w:i w:val="0"/>
                <w:iCs w:val="0"/>
                <w:color w:val="000000"/>
                <w:kern w:val="0"/>
                <w:sz w:val="24"/>
                <w:szCs w:val="24"/>
                <w:u w:val="none"/>
                <w:lang w:val="en-US" w:eastAsia="zh-CN" w:bidi="ar"/>
              </w:rPr>
              <w:t>，就</w:t>
            </w:r>
            <w:r>
              <w:rPr>
                <w:rStyle w:val="16"/>
                <w:rFonts w:hAnsi="宋体"/>
                <w:lang w:val="en-US" w:eastAsia="zh-CN" w:bidi="ar"/>
              </w:rPr>
              <w:t>涉企服务“增值味”不浓问题</w:t>
            </w:r>
            <w:r>
              <w:rPr>
                <w:rStyle w:val="17"/>
                <w:rFonts w:hAnsi="宋体"/>
                <w:lang w:val="en-US" w:eastAsia="zh-CN" w:bidi="ar"/>
              </w:rPr>
              <w:t>深入开展研究，制定整改举措，切实抓好落实。</w:t>
            </w:r>
          </w:p>
        </w:tc>
        <w:tc>
          <w:tcPr>
            <w:tcW w:w="8315" w:type="dxa"/>
            <w:tcBorders>
              <w:tl2br w:val="nil"/>
              <w:tr2bl w:val="nil"/>
            </w:tcBorders>
            <w:noWrap w:val="0"/>
            <w:vAlign w:val="center"/>
          </w:tcPr>
          <w:p w14:paraId="4BD9E3A4">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自查自纠：</w:t>
            </w:r>
            <w:r>
              <w:rPr>
                <w:rFonts w:hint="eastAsia" w:ascii="仿宋_GB2312" w:hAnsi="宋体" w:eastAsia="仿宋_GB2312" w:cs="仿宋_GB2312"/>
                <w:i w:val="0"/>
                <w:iCs w:val="0"/>
                <w:color w:val="000000"/>
                <w:kern w:val="0"/>
                <w:sz w:val="21"/>
                <w:szCs w:val="21"/>
                <w:u w:val="none"/>
                <w:lang w:val="en-US" w:eastAsia="zh-CN" w:bidi="ar"/>
              </w:rPr>
              <w:t>萧山区企服中心以企业需求为导向，梳理190项增值服务事项，分为新引进和原有事项全链条服务两种落地模式。例如，法治、科创、金融牵头单位均为新入驻部门；开放板块的原产地证打印服务已在政务服务中心落地，企服中心在此基础上，延长服务链条，提供原产地证和商品备案申报指导和证书邮寄服务。此外，根据萧山产业特色，开设新电商服务专区，落地电商相关事项10余项，并联动多板块事项，编制《我要开网店》服务指南，举办跨境电商培训会，获得企业一致好评。但是，企服中心仍存在板块间联动性不强的问题。</w:t>
            </w:r>
          </w:p>
          <w:p w14:paraId="5CFE010D">
            <w:pPr>
              <w:keepNext w:val="0"/>
              <w:keepLines w:val="0"/>
              <w:widowControl/>
              <w:suppressLineNumbers w:val="0"/>
              <w:jc w:val="both"/>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问题办理情况：</w:t>
            </w:r>
          </w:p>
          <w:p w14:paraId="3AB5925F">
            <w:pPr>
              <w:keepNext w:val="0"/>
              <w:keepLines w:val="0"/>
              <w:widowControl/>
              <w:numPr>
                <w:ilvl w:val="0"/>
                <w:numId w:val="1"/>
              </w:numPr>
              <w:suppressLineNumbers w:val="0"/>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培养全科工作人员，建立高关联度专区。根据事项关联度，培养多板块业务精通的前台工作人员。例如，人才、科创、金融服务事项高度关联，且事项办理常常存在前后关联，拟成立创新创业专区，选派熟悉三个板块业务的工作人员进行业务办理，企业、群众可在该专区咨询、办理人才、金融、科创业务。</w:t>
            </w:r>
          </w:p>
          <w:p w14:paraId="62A91A62">
            <w:pPr>
              <w:keepNext w:val="0"/>
              <w:keepLines w:val="0"/>
              <w:widowControl/>
              <w:numPr>
                <w:ilvl w:val="0"/>
                <w:numId w:val="1"/>
              </w:numPr>
              <w:suppressLineNumbers w:val="0"/>
              <w:jc w:val="both"/>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专业人员轮驻企服中心。法治板块每周2次律师轮驻企服中心，金融板块以银行为牵头，轮驻银行业务骨干，形成金融顾问团每周2次轮驻企服中心。为企业提供专业化服务。</w:t>
            </w:r>
          </w:p>
        </w:tc>
      </w:tr>
      <w:tr w14:paraId="157C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859" w:type="dxa"/>
            <w:tcBorders>
              <w:tl2br w:val="nil"/>
              <w:tr2bl w:val="nil"/>
            </w:tcBorders>
            <w:noWrap w:val="0"/>
            <w:vAlign w:val="center"/>
          </w:tcPr>
          <w:p w14:paraId="71F9EF2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3330" w:type="dxa"/>
            <w:tcBorders>
              <w:tl2br w:val="nil"/>
              <w:tr2bl w:val="nil"/>
            </w:tcBorders>
            <w:noWrap w:val="0"/>
            <w:vAlign w:val="center"/>
          </w:tcPr>
          <w:p w14:paraId="34CE7A36">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提供政府侧服务事项多，社会侧、市场侧服务事项少。</w:t>
            </w:r>
            <w:r>
              <w:rPr>
                <w:rStyle w:val="17"/>
                <w:rFonts w:hAnsi="宋体"/>
                <w:lang w:val="en-US" w:eastAsia="zh-CN" w:bidi="ar"/>
              </w:rPr>
              <w:t>特别是金融服务和法律服务，更多涉及市场化行为，政府部门在引进市场侧、社会侧服务资源时普遍缺乏统筹纳入的路径和筛选识别的机制。</w:t>
            </w:r>
          </w:p>
        </w:tc>
        <w:tc>
          <w:tcPr>
            <w:tcW w:w="1651" w:type="dxa"/>
            <w:tcBorders>
              <w:tl2br w:val="nil"/>
              <w:tr2bl w:val="nil"/>
            </w:tcBorders>
            <w:noWrap w:val="0"/>
            <w:vAlign w:val="center"/>
          </w:tcPr>
          <w:p w14:paraId="5C35946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请结合省级涉企服务事项清单指导目录落地、编制本地涉企服务地方事项清单等工作，就</w:t>
            </w:r>
            <w:r>
              <w:rPr>
                <w:rStyle w:val="16"/>
                <w:rFonts w:hAnsi="宋体"/>
                <w:lang w:val="en-US" w:eastAsia="zh-CN" w:bidi="ar"/>
              </w:rPr>
              <w:t>社会侧、市场侧服务事项少问题</w:t>
            </w:r>
            <w:r>
              <w:rPr>
                <w:rStyle w:val="17"/>
                <w:rFonts w:hAnsi="宋体"/>
                <w:lang w:val="en-US" w:eastAsia="zh-CN" w:bidi="ar"/>
              </w:rPr>
              <w:t>深入开展研究，制定整改举措，切实抓好落实。</w:t>
            </w:r>
          </w:p>
        </w:tc>
        <w:tc>
          <w:tcPr>
            <w:tcW w:w="8315" w:type="dxa"/>
            <w:tcBorders>
              <w:tl2br w:val="nil"/>
              <w:tr2bl w:val="nil"/>
            </w:tcBorders>
            <w:noWrap w:val="0"/>
            <w:vAlign w:val="center"/>
          </w:tcPr>
          <w:p w14:paraId="599E09BA">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自查自纠：</w:t>
            </w:r>
            <w:r>
              <w:rPr>
                <w:rFonts w:hint="eastAsia" w:ascii="仿宋_GB2312" w:hAnsi="仿宋_GB2312" w:eastAsia="仿宋_GB2312" w:cs="仿宋_GB2312"/>
                <w:i w:val="0"/>
                <w:iCs w:val="0"/>
                <w:color w:val="000000"/>
                <w:kern w:val="0"/>
                <w:sz w:val="21"/>
                <w:szCs w:val="21"/>
                <w:u w:val="none"/>
                <w:lang w:val="en-US" w:eastAsia="zh-CN" w:bidi="ar"/>
              </w:rPr>
              <w:t>根据</w:t>
            </w:r>
            <w:r>
              <w:rPr>
                <w:rFonts w:hint="eastAsia" w:ascii="仿宋_GB2312" w:hAnsi="仿宋_GB2312" w:eastAsia="仿宋_GB2312" w:cs="仿宋_GB2312"/>
                <w:lang w:val="en-US" w:eastAsia="zh-CN"/>
              </w:rPr>
              <w:t>《省级涉企服务事项清单指导目录 S0》要求和萧山实际情况，萧山区企服中心已进驻190项事项，并编制服务清单和服务指南，将事项标准化、规范化。在法律服务方面，已引入“法护营商”律师团队，由125名具有丰富民商事法务经验律师组成，每周在企服中心驻点值班。在金融服务方面，在企服中心成立萧山区综合金融生态建设顾问工作室，充分发挥金融顾问来自银行、证券、投资等机构的专业实力和资源优势，并引入工商银行、建设银行和萧山农商银行等服务网点。科创、人才板块成立萧山区“北斗七星”科创联盟，提供北大信息技术高等研究院等七大高端科研平台对接服务。萧山信息港小镇企服分中心以公开征集、筛选方式，引入财务、法律等10余家第三方服务商。</w:t>
            </w:r>
          </w:p>
          <w:p w14:paraId="351ACB6F">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问题办理情况：</w:t>
            </w:r>
            <w:r>
              <w:rPr>
                <w:rFonts w:hint="eastAsia" w:ascii="仿宋_GB2312" w:hAnsi="仿宋_GB2312" w:eastAsia="仿宋_GB2312" w:cs="仿宋_GB2312"/>
                <w:i w:val="0"/>
                <w:iCs w:val="0"/>
                <w:color w:val="000000"/>
                <w:kern w:val="0"/>
                <w:sz w:val="21"/>
                <w:szCs w:val="21"/>
                <w:u w:val="none"/>
                <w:lang w:val="en-US" w:eastAsia="zh-CN" w:bidi="ar"/>
              </w:rPr>
              <w:t>一是提供协会服务。加强与部门对接，收集萧山区内协会信息，并按照业务关联度与企业需求，计划引入萧山区自贸跨境协会等社会侧服务。二是探索第三方服务。探索与专业的第三方企业服务运营公司合作，计划开设“资源对接”专窗，按照产业链发展模式，有效地连接企业、高校、研究机构和社会组织，帮助有需要的企业快速建立联系合作。</w:t>
            </w:r>
          </w:p>
        </w:tc>
      </w:tr>
      <w:tr w14:paraId="0CAE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9" w:type="dxa"/>
            <w:tcBorders>
              <w:tl2br w:val="nil"/>
              <w:tr2bl w:val="nil"/>
            </w:tcBorders>
            <w:noWrap w:val="0"/>
            <w:vAlign w:val="center"/>
          </w:tcPr>
          <w:p w14:paraId="5993389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cs="Times New Roman"/>
                <w:i w:val="0"/>
                <w:iCs w:val="0"/>
                <w:color w:val="000000"/>
                <w:kern w:val="0"/>
                <w:sz w:val="28"/>
                <w:szCs w:val="28"/>
                <w:u w:val="none"/>
                <w:lang w:val="en-US" w:eastAsia="zh-CN" w:bidi="ar"/>
              </w:rPr>
              <w:t>4</w:t>
            </w:r>
          </w:p>
        </w:tc>
        <w:tc>
          <w:tcPr>
            <w:tcW w:w="3330" w:type="dxa"/>
            <w:tcBorders>
              <w:tl2br w:val="nil"/>
              <w:tr2bl w:val="nil"/>
            </w:tcBorders>
            <w:noWrap w:val="0"/>
            <w:vAlign w:val="center"/>
          </w:tcPr>
          <w:p w14:paraId="290ED23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r>
              <w:rPr>
                <w:rStyle w:val="16"/>
                <w:rFonts w:hAnsi="Times New Roman"/>
                <w:lang w:val="en-US" w:eastAsia="zh-CN" w:bidi="ar"/>
              </w:rPr>
              <w:t>一类事</w:t>
            </w:r>
            <w:r>
              <w:rPr>
                <w:rStyle w:val="15"/>
                <w:rFonts w:eastAsia="宋体"/>
                <w:lang w:val="en-US" w:eastAsia="zh-CN" w:bidi="ar"/>
              </w:rPr>
              <w:t>”</w:t>
            </w:r>
            <w:r>
              <w:rPr>
                <w:rStyle w:val="16"/>
                <w:rFonts w:hAnsi="Times New Roman"/>
                <w:lang w:val="en-US" w:eastAsia="zh-CN" w:bidi="ar"/>
              </w:rPr>
              <w:t>改革系统集成度不足。</w:t>
            </w:r>
            <w:r>
              <w:rPr>
                <w:rStyle w:val="17"/>
                <w:rFonts w:hAnsi="Times New Roman"/>
                <w:lang w:val="en-US" w:eastAsia="zh-CN" w:bidi="ar"/>
              </w:rPr>
              <w:t>各地各部门</w:t>
            </w:r>
            <w:r>
              <w:rPr>
                <w:rStyle w:val="18"/>
                <w:rFonts w:eastAsia="宋体"/>
                <w:lang w:val="en-US" w:eastAsia="zh-CN" w:bidi="ar"/>
              </w:rPr>
              <w:t>“</w:t>
            </w:r>
            <w:r>
              <w:rPr>
                <w:rStyle w:val="17"/>
                <w:rFonts w:hAnsi="Times New Roman"/>
                <w:lang w:val="en-US" w:eastAsia="zh-CN" w:bidi="ar"/>
              </w:rPr>
              <w:t>一件事</w:t>
            </w:r>
            <w:r>
              <w:rPr>
                <w:rStyle w:val="18"/>
                <w:rFonts w:eastAsia="宋体"/>
                <w:lang w:val="en-US" w:eastAsia="zh-CN" w:bidi="ar"/>
              </w:rPr>
              <w:t>”</w:t>
            </w:r>
            <w:r>
              <w:rPr>
                <w:rStyle w:val="17"/>
                <w:rFonts w:hAnsi="Times New Roman"/>
                <w:lang w:val="en-US" w:eastAsia="zh-CN" w:bidi="ar"/>
              </w:rPr>
              <w:t>和</w:t>
            </w:r>
            <w:r>
              <w:rPr>
                <w:rStyle w:val="18"/>
                <w:rFonts w:eastAsia="宋体"/>
                <w:lang w:val="en-US" w:eastAsia="zh-CN" w:bidi="ar"/>
              </w:rPr>
              <w:t>“</w:t>
            </w:r>
            <w:r>
              <w:rPr>
                <w:rStyle w:val="17"/>
                <w:rFonts w:hAnsi="Times New Roman"/>
                <w:lang w:val="en-US" w:eastAsia="zh-CN" w:bidi="ar"/>
              </w:rPr>
              <w:t>一类事</w:t>
            </w:r>
            <w:r>
              <w:rPr>
                <w:rStyle w:val="18"/>
                <w:rFonts w:eastAsia="宋体"/>
                <w:lang w:val="en-US" w:eastAsia="zh-CN" w:bidi="ar"/>
              </w:rPr>
              <w:t>”</w:t>
            </w:r>
            <w:r>
              <w:rPr>
                <w:rStyle w:val="17"/>
                <w:rFonts w:hAnsi="Times New Roman"/>
                <w:lang w:val="en-US" w:eastAsia="zh-CN" w:bidi="ar"/>
              </w:rPr>
              <w:t>统筹联动的运行机制还有待进一步完善</w:t>
            </w:r>
            <w:r>
              <w:rPr>
                <w:rStyle w:val="17"/>
                <w:rFonts w:hAnsi="Times New Roman"/>
                <w:i w:val="0"/>
                <w:iCs w:val="0"/>
                <w:lang w:val="en-US" w:eastAsia="zh-CN" w:bidi="ar"/>
              </w:rPr>
              <w:t>。</w:t>
            </w:r>
            <w:r>
              <w:rPr>
                <w:rStyle w:val="17"/>
                <w:rFonts w:hint="default" w:hAnsi="Times New Roman"/>
                <w:i w:val="0"/>
                <w:iCs w:val="0"/>
                <w:lang w:val="en-US" w:eastAsia="zh-CN" w:bidi="ar"/>
              </w:rPr>
              <w:t>涉企“一类事”需多部门参与，但大多数企服中心行政级别不高，统筹各方资源能力较弱，地方上“条强块弱”特征明显，且部门间存在法规、业务、数据等多重壁垒。</w:t>
            </w:r>
          </w:p>
        </w:tc>
        <w:tc>
          <w:tcPr>
            <w:tcW w:w="1651" w:type="dxa"/>
            <w:tcBorders>
              <w:tl2br w:val="nil"/>
              <w:tr2bl w:val="nil"/>
            </w:tcBorders>
            <w:noWrap w:val="0"/>
            <w:vAlign w:val="center"/>
          </w:tcPr>
          <w:p w14:paraId="68849CF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请结合做实“一件事”高效运行基础、打造产业链“一类事”等相关工作，就</w:t>
            </w:r>
            <w:r>
              <w:rPr>
                <w:rStyle w:val="16"/>
                <w:rFonts w:hAnsi="宋体"/>
                <w:lang w:val="en-US" w:eastAsia="zh-CN" w:bidi="ar"/>
              </w:rPr>
              <w:t>“一类事”改革系统集成度不足</w:t>
            </w:r>
            <w:r>
              <w:rPr>
                <w:rStyle w:val="17"/>
                <w:rFonts w:hAnsi="宋体"/>
                <w:lang w:val="en-US" w:eastAsia="zh-CN" w:bidi="ar"/>
              </w:rPr>
              <w:t>问题深入开展研究，制定整改举措，切实抓好落实。</w:t>
            </w:r>
          </w:p>
        </w:tc>
        <w:tc>
          <w:tcPr>
            <w:tcW w:w="8315" w:type="dxa"/>
            <w:tcBorders>
              <w:tl2br w:val="nil"/>
              <w:tr2bl w:val="nil"/>
            </w:tcBorders>
            <w:noWrap w:val="0"/>
            <w:vAlign w:val="center"/>
          </w:tcPr>
          <w:p w14:paraId="7021C38E">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自查自纠：</w:t>
            </w:r>
            <w:r>
              <w:rPr>
                <w:rFonts w:hint="eastAsia" w:ascii="仿宋_GB2312" w:hAnsi="仿宋_GB2312" w:eastAsia="仿宋_GB2312" w:cs="仿宋_GB2312"/>
                <w:lang w:val="en-US" w:eastAsia="zh-CN"/>
              </w:rPr>
              <w:t>根据萧山区政务服务增值化改革工作部署要求，由区发改局牵头“一类事”改革，出台《杭州市萧山区政务服务增值化改革“一类事”工作方案》（萧发改〔2023〕137号），明确工作目标、方法路径、重点任务和保障措施，并在“一件事”基础上，承接18项省市“一类事”，梳理8项萧山特色“一类事”服务清单。其中，萧山区新材料产业全链条关键环节“一类事”入选2024 年第一批营商环境“微改革”案例。但在服务企业过程中发现，“一类事”涉及服务事项数较多，分散在各个部门和服务板块，部分事项无法在大厅办理，集成性有待加强。</w:t>
            </w:r>
          </w:p>
          <w:p w14:paraId="67D4C110">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问题办理情况：</w:t>
            </w:r>
            <w:r>
              <w:rPr>
                <w:rFonts w:hint="eastAsia" w:ascii="仿宋_GB2312" w:hAnsi="仿宋_GB2312" w:eastAsia="仿宋_GB2312" w:cs="仿宋_GB2312"/>
                <w:lang w:val="en-US" w:eastAsia="zh-CN"/>
              </w:rPr>
              <w:t>一是设立服务专区。在区企服中心设立“一事联办”专区，落实专区工作人员“首问责任制”，并为企业提供全流程帮办代办服务。</w:t>
            </w:r>
          </w:p>
          <w:p w14:paraId="0806A39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二是建设企服分中心。在特色产业园区、产业集成度高的园区建设企服分中心，培养全能型政务服务办事员，并下沉政务服务和增值服务事项，让企业办事不出园。</w:t>
            </w:r>
          </w:p>
        </w:tc>
      </w:tr>
      <w:tr w14:paraId="36C0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4" w:hRule="atLeast"/>
        </w:trPr>
        <w:tc>
          <w:tcPr>
            <w:tcW w:w="859" w:type="dxa"/>
            <w:tcBorders>
              <w:tl2br w:val="nil"/>
              <w:tr2bl w:val="nil"/>
            </w:tcBorders>
            <w:noWrap w:val="0"/>
            <w:vAlign w:val="center"/>
          </w:tcPr>
          <w:p w14:paraId="63F4D53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3330" w:type="dxa"/>
            <w:tcBorders>
              <w:tl2br w:val="nil"/>
              <w:tr2bl w:val="nil"/>
            </w:tcBorders>
            <w:noWrap w:val="0"/>
            <w:vAlign w:val="center"/>
          </w:tcPr>
          <w:p w14:paraId="67346933">
            <w:pPr>
              <w:keepNext w:val="0"/>
              <w:keepLines w:val="0"/>
              <w:widowControl/>
              <w:suppressLineNumbers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r>
              <w:rPr>
                <w:rStyle w:val="16"/>
                <w:rFonts w:hAnsi="Times New Roman"/>
                <w:lang w:val="en-US" w:eastAsia="zh-CN" w:bidi="ar"/>
              </w:rPr>
              <w:t>包装式</w:t>
            </w:r>
            <w:r>
              <w:rPr>
                <w:rStyle w:val="15"/>
                <w:rFonts w:eastAsia="宋体"/>
                <w:lang w:val="en-US" w:eastAsia="zh-CN" w:bidi="ar"/>
              </w:rPr>
              <w:t>”</w:t>
            </w:r>
            <w:r>
              <w:rPr>
                <w:rStyle w:val="16"/>
                <w:rFonts w:hAnsi="Times New Roman"/>
                <w:lang w:val="en-US" w:eastAsia="zh-CN" w:bidi="ar"/>
              </w:rPr>
              <w:t>落实需引起警惕重视。</w:t>
            </w:r>
            <w:r>
              <w:rPr>
                <w:rStyle w:val="17"/>
                <w:rFonts w:hAnsi="Times New Roman"/>
                <w:lang w:val="en-US" w:eastAsia="zh-CN" w:bidi="ar"/>
              </w:rPr>
              <w:t>一些地方对改革初衷把握不准，心态上急于求成，出现</w:t>
            </w:r>
            <w:r>
              <w:rPr>
                <w:rStyle w:val="18"/>
                <w:rFonts w:eastAsia="宋体"/>
                <w:lang w:val="en-US" w:eastAsia="zh-CN" w:bidi="ar"/>
              </w:rPr>
              <w:t>“</w:t>
            </w:r>
            <w:r>
              <w:rPr>
                <w:rStyle w:val="17"/>
                <w:rFonts w:hAnsi="Times New Roman"/>
                <w:lang w:val="en-US" w:eastAsia="zh-CN" w:bidi="ar"/>
              </w:rPr>
              <w:t>重包装、轻落实</w:t>
            </w:r>
            <w:r>
              <w:rPr>
                <w:rStyle w:val="18"/>
                <w:rFonts w:eastAsia="宋体"/>
                <w:lang w:val="en-US" w:eastAsia="zh-CN" w:bidi="ar"/>
              </w:rPr>
              <w:t>”“</w:t>
            </w:r>
            <w:r>
              <w:rPr>
                <w:rStyle w:val="17"/>
                <w:rFonts w:hAnsi="Times New Roman"/>
                <w:lang w:val="en-US" w:eastAsia="zh-CN" w:bidi="ar"/>
              </w:rPr>
              <w:t>重数据、轻实效</w:t>
            </w:r>
            <w:r>
              <w:rPr>
                <w:rStyle w:val="18"/>
                <w:rFonts w:eastAsia="宋体"/>
                <w:lang w:val="en-US" w:eastAsia="zh-CN" w:bidi="ar"/>
              </w:rPr>
              <w:t>”</w:t>
            </w:r>
            <w:r>
              <w:rPr>
                <w:rStyle w:val="17"/>
                <w:rFonts w:hAnsi="Times New Roman"/>
                <w:lang w:val="en-US" w:eastAsia="zh-CN" w:bidi="ar"/>
              </w:rPr>
              <w:t>等形式主义、官僚主义苗头倾向。</w:t>
            </w:r>
          </w:p>
        </w:tc>
        <w:tc>
          <w:tcPr>
            <w:tcW w:w="1651" w:type="dxa"/>
            <w:tcBorders>
              <w:tl2br w:val="nil"/>
              <w:tr2bl w:val="nil"/>
            </w:tcBorders>
            <w:noWrap w:val="0"/>
            <w:vAlign w:val="center"/>
          </w:tcPr>
          <w:p w14:paraId="70A2FC3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请开展对照检查，就</w:t>
            </w:r>
            <w:r>
              <w:rPr>
                <w:rStyle w:val="16"/>
                <w:rFonts w:hAnsi="宋体"/>
                <w:lang w:val="en-US" w:eastAsia="zh-CN" w:bidi="ar"/>
              </w:rPr>
              <w:t>“包装式”落实</w:t>
            </w:r>
            <w:r>
              <w:rPr>
                <w:rStyle w:val="17"/>
                <w:rFonts w:hAnsi="宋体"/>
                <w:lang w:val="en-US" w:eastAsia="zh-CN" w:bidi="ar"/>
              </w:rPr>
              <w:t>问题深入开展研究，制定整改举措，切实抓好落实。</w:t>
            </w:r>
          </w:p>
        </w:tc>
        <w:tc>
          <w:tcPr>
            <w:tcW w:w="8315" w:type="dxa"/>
            <w:tcBorders>
              <w:tl2br w:val="nil"/>
              <w:tr2bl w:val="nil"/>
            </w:tcBorders>
            <w:noWrap w:val="0"/>
            <w:vAlign w:val="center"/>
          </w:tcPr>
          <w:p w14:paraId="2C2F50BF">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自查自纠：</w:t>
            </w:r>
            <w:r>
              <w:rPr>
                <w:rFonts w:hint="eastAsia" w:ascii="仿宋_GB2312" w:hAnsi="仿宋_GB2312" w:eastAsia="仿宋_GB2312" w:cs="仿宋_GB2312"/>
                <w:lang w:val="en-US" w:eastAsia="zh-CN"/>
              </w:rPr>
              <w:t>萧山区企服中心已进驻8个省定板块和4个萧山特色服务专区，共计190项事项，但经过一段时间运行，发现存在不同板块办件量悬殊的问题。例如，科创服务板块4月办件量仅84件，而人才服务板块月均办件量3000余件。</w:t>
            </w:r>
          </w:p>
          <w:p w14:paraId="3FFA604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lang w:val="en-US" w:eastAsia="zh-CN"/>
              </w:rPr>
              <w:t>问题办理情况：</w:t>
            </w:r>
            <w:r>
              <w:rPr>
                <w:rFonts w:hint="eastAsia" w:ascii="仿宋_GB2312" w:hAnsi="仿宋_GB2312" w:eastAsia="仿宋_GB2312" w:cs="仿宋_GB2312"/>
                <w:lang w:val="en-US" w:eastAsia="zh-CN"/>
              </w:rPr>
              <w:t>针对办件量问题，企服中心积极协调板块牵头部门，在科创服务板块落地“技术合同登记”、“外国人来华工作许可”、“科技创新容错”等高频办理事项，该板块办件量已提升至月均400件。在开放服务板块新引入商务邀请函、展会补贴、高级实名认证，办件量提升至3272件，并为24名前来萧山学习厨艺的塞尔维亚学生提供了实名认证服务，专业、贴心的服务赢得了师生们的高度赞扬。此外，借鉴政务服务“好差评”机制，畅通现场服务“一次一评”和短信回访“一事一评”评价渠道，主动接受社会各界的综合性评价，以评促改，以评促优，助力政务服务增值化改革提质增效。</w:t>
            </w:r>
          </w:p>
        </w:tc>
      </w:tr>
      <w:tr w14:paraId="0A471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859" w:type="dxa"/>
            <w:tcBorders>
              <w:tl2br w:val="nil"/>
              <w:tr2bl w:val="nil"/>
            </w:tcBorders>
            <w:noWrap w:val="0"/>
            <w:vAlign w:val="center"/>
          </w:tcPr>
          <w:p w14:paraId="4361C68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3330" w:type="dxa"/>
            <w:tcBorders>
              <w:tl2br w:val="nil"/>
              <w:tr2bl w:val="nil"/>
            </w:tcBorders>
            <w:noWrap w:val="0"/>
            <w:vAlign w:val="center"/>
          </w:tcPr>
          <w:p w14:paraId="1DE619FA">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数据共享不足、功能不全。</w:t>
            </w:r>
            <w:r>
              <w:rPr>
                <w:rStyle w:val="17"/>
                <w:rFonts w:hAnsi="宋体"/>
                <w:lang w:val="en-US" w:eastAsia="zh-CN" w:bidi="ar"/>
              </w:rPr>
              <w:t>企服中心数据展示屏数量多、面积大，但各板块的数据共享水平不足，功能局限于简单的展示、查询。</w:t>
            </w:r>
          </w:p>
        </w:tc>
        <w:tc>
          <w:tcPr>
            <w:tcW w:w="1651" w:type="dxa"/>
            <w:tcBorders>
              <w:tl2br w:val="nil"/>
              <w:tr2bl w:val="nil"/>
            </w:tcBorders>
            <w:noWrap w:val="0"/>
            <w:vAlign w:val="center"/>
          </w:tcPr>
          <w:p w14:paraId="465B792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请结合建设企业综合服务平台、“政策计算器”等工作，就</w:t>
            </w:r>
            <w:r>
              <w:rPr>
                <w:rStyle w:val="16"/>
                <w:rFonts w:hAnsi="宋体"/>
                <w:lang w:val="en-US" w:eastAsia="zh-CN" w:bidi="ar"/>
              </w:rPr>
              <w:t>数据共享不足、功能不全</w:t>
            </w:r>
            <w:r>
              <w:rPr>
                <w:rStyle w:val="17"/>
                <w:rFonts w:hAnsi="宋体"/>
                <w:lang w:val="en-US" w:eastAsia="zh-CN" w:bidi="ar"/>
              </w:rPr>
              <w:t>问题深入开展研究，制定整改举措，切实抓好落实。</w:t>
            </w:r>
          </w:p>
        </w:tc>
        <w:tc>
          <w:tcPr>
            <w:tcW w:w="8315" w:type="dxa"/>
            <w:tcBorders>
              <w:tl2br w:val="nil"/>
              <w:tr2bl w:val="nil"/>
            </w:tcBorders>
            <w:noWrap w:val="0"/>
            <w:vAlign w:val="center"/>
          </w:tcPr>
          <w:p w14:paraId="4B850B8E">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自查自纠：</w:t>
            </w:r>
            <w:r>
              <w:rPr>
                <w:rFonts w:hint="eastAsia" w:ascii="仿宋_GB2312" w:hAnsi="仿宋_GB2312" w:eastAsia="仿宋_GB2312" w:cs="仿宋_GB2312"/>
                <w:lang w:val="en-US" w:eastAsia="zh-CN"/>
              </w:rPr>
              <w:t>萧山区企服中心根据省市工作要求，按照线下企服体系，搭建线上企业综合服务平台，集成政府侧、市场侧、社会侧涉企服务应用，打造功能强大、运转高效、界面友好的服务场景，其中“企呼我应”模块已被提级为市级统建系统。企服中心设置1块数据大屏，重点监测涉企问题超时办结、多次重复发生等情况，并在导服台边设置3块立式电子屏，滚动事项、服务流程、中介机构和近期培训活动，扩大企服及活动的知晓率和参与度。但在建设企服平台过程中，因增值服务事项由各地自行设置，缺少省级统一的数据上传和回落标准，且增值服务事项为新生事物，数据沉淀时间短，信息不够全面。</w:t>
            </w:r>
          </w:p>
          <w:p w14:paraId="27EBCF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lang w:val="en-US" w:eastAsia="zh-CN"/>
              </w:rPr>
              <w:t>问题办理情况：</w:t>
            </w:r>
            <w:r>
              <w:rPr>
                <w:rFonts w:hint="eastAsia" w:ascii="仿宋_GB2312" w:hAnsi="仿宋_GB2312" w:eastAsia="仿宋_GB2312" w:cs="仿宋_GB2312"/>
                <w:lang w:val="en-US" w:eastAsia="zh-CN"/>
              </w:rPr>
              <w:t>一是集成本地应用。在区数据局的支持下，企服平台集成增值服务相关的萧山自建应用，真正实现“一门进、一站式”服务。二是积极向上对接。联合区数据局，就数据回落质量和标准化，与省市大数据局进行对接沟通。三是应用“政策超市”平台。依托杭州市“政策超市”平台，创新打造萧山服务专区，探索落地精准推送、企业体检、免审即享等政策服务。</w:t>
            </w:r>
          </w:p>
        </w:tc>
      </w:tr>
      <w:tr w14:paraId="72491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859" w:type="dxa"/>
            <w:tcBorders>
              <w:tl2br w:val="nil"/>
              <w:tr2bl w:val="nil"/>
            </w:tcBorders>
            <w:noWrap w:val="0"/>
            <w:vAlign w:val="center"/>
          </w:tcPr>
          <w:p w14:paraId="10F0467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3330" w:type="dxa"/>
            <w:tcBorders>
              <w:tl2br w:val="nil"/>
              <w:tr2bl w:val="nil"/>
            </w:tcBorders>
            <w:noWrap w:val="0"/>
            <w:vAlign w:val="center"/>
          </w:tcPr>
          <w:p w14:paraId="590421EF">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重金投入成效甚微。</w:t>
            </w:r>
            <w:r>
              <w:rPr>
                <w:rStyle w:val="17"/>
                <w:rFonts w:hAnsi="宋体"/>
                <w:lang w:val="en-US" w:eastAsia="zh-CN" w:bidi="ar"/>
              </w:rPr>
              <w:t>花重金打造人工智能机器人用于辅助企业咨询，但实际政策答复效用有限，无法从根本上解决板块服务人员政策能力水平不足的问题。</w:t>
            </w:r>
          </w:p>
        </w:tc>
        <w:tc>
          <w:tcPr>
            <w:tcW w:w="1651" w:type="dxa"/>
            <w:tcBorders>
              <w:tl2br w:val="nil"/>
              <w:tr2bl w:val="nil"/>
            </w:tcBorders>
            <w:noWrap w:val="0"/>
            <w:vAlign w:val="center"/>
          </w:tcPr>
          <w:p w14:paraId="237420A6">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请开展对照检查，就</w:t>
            </w:r>
            <w:r>
              <w:rPr>
                <w:rStyle w:val="16"/>
                <w:rFonts w:hAnsi="宋体"/>
                <w:lang w:val="en-US" w:eastAsia="zh-CN" w:bidi="ar"/>
              </w:rPr>
              <w:t>重金投入成效甚微</w:t>
            </w:r>
            <w:r>
              <w:rPr>
                <w:rStyle w:val="17"/>
                <w:rFonts w:hAnsi="宋体"/>
                <w:lang w:val="en-US" w:eastAsia="zh-CN" w:bidi="ar"/>
              </w:rPr>
              <w:t>问题深入开展研究，制定整改举措，切实抓好落实。</w:t>
            </w:r>
            <w:r>
              <w:rPr>
                <w:rStyle w:val="17"/>
                <w:rFonts w:hint="default" w:ascii="仿宋_GB2312" w:hAnsi="宋体"/>
                <w:lang w:eastAsia="zh-CN" w:bidi="ar"/>
              </w:rPr>
              <w:t>（若无相关情况，不需反馈）</w:t>
            </w:r>
          </w:p>
        </w:tc>
        <w:tc>
          <w:tcPr>
            <w:tcW w:w="8315" w:type="dxa"/>
            <w:tcBorders>
              <w:tl2br w:val="nil"/>
              <w:tr2bl w:val="nil"/>
            </w:tcBorders>
            <w:noWrap w:val="0"/>
            <w:vAlign w:val="center"/>
          </w:tcPr>
          <w:p w14:paraId="4A4142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萧山无相关情况</w:t>
            </w:r>
          </w:p>
        </w:tc>
      </w:tr>
      <w:tr w14:paraId="14E7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6" w:hRule="atLeast"/>
        </w:trPr>
        <w:tc>
          <w:tcPr>
            <w:tcW w:w="859" w:type="dxa"/>
            <w:tcBorders>
              <w:tl2br w:val="nil"/>
              <w:tr2bl w:val="nil"/>
            </w:tcBorders>
            <w:noWrap w:val="0"/>
            <w:vAlign w:val="center"/>
          </w:tcPr>
          <w:p w14:paraId="3BE3B3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3330" w:type="dxa"/>
            <w:tcBorders>
              <w:tl2br w:val="nil"/>
              <w:tr2bl w:val="nil"/>
            </w:tcBorders>
            <w:noWrap w:val="0"/>
            <w:vAlign w:val="center"/>
          </w:tcPr>
          <w:p w14:paraId="04DE8ACF">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片面追求</w:t>
            </w:r>
            <w:r>
              <w:rPr>
                <w:rStyle w:val="15"/>
                <w:rFonts w:eastAsia="仿宋_GB2312"/>
                <w:lang w:val="en-US" w:eastAsia="zh-CN" w:bidi="ar"/>
              </w:rPr>
              <w:t>“</w:t>
            </w:r>
            <w:r>
              <w:rPr>
                <w:rStyle w:val="16"/>
                <w:rFonts w:hAnsi="宋体"/>
                <w:lang w:val="en-US" w:eastAsia="zh-CN" w:bidi="ar"/>
              </w:rPr>
              <w:t>办结率</w:t>
            </w:r>
            <w:r>
              <w:rPr>
                <w:rStyle w:val="15"/>
                <w:rFonts w:eastAsia="仿宋_GB2312"/>
                <w:lang w:val="en-US" w:eastAsia="zh-CN" w:bidi="ar"/>
              </w:rPr>
              <w:t>”</w:t>
            </w:r>
            <w:r>
              <w:rPr>
                <w:rStyle w:val="16"/>
                <w:rFonts w:hAnsi="宋体"/>
                <w:lang w:val="en-US" w:eastAsia="zh-CN" w:bidi="ar"/>
              </w:rPr>
              <w:t>和</w:t>
            </w:r>
            <w:r>
              <w:rPr>
                <w:rStyle w:val="15"/>
                <w:rFonts w:eastAsia="仿宋_GB2312"/>
                <w:lang w:val="en-US" w:eastAsia="zh-CN" w:bidi="ar"/>
              </w:rPr>
              <w:t>“</w:t>
            </w:r>
            <w:r>
              <w:rPr>
                <w:rStyle w:val="16"/>
                <w:rFonts w:hAnsi="宋体"/>
                <w:lang w:val="en-US" w:eastAsia="zh-CN" w:bidi="ar"/>
              </w:rPr>
              <w:t>满意度</w:t>
            </w:r>
            <w:r>
              <w:rPr>
                <w:rStyle w:val="15"/>
                <w:rFonts w:eastAsia="仿宋_GB2312"/>
                <w:lang w:val="en-US" w:eastAsia="zh-CN" w:bidi="ar"/>
              </w:rPr>
              <w:t>”</w:t>
            </w:r>
            <w:r>
              <w:rPr>
                <w:rStyle w:val="16"/>
                <w:rFonts w:hAnsi="宋体"/>
                <w:lang w:val="en-US" w:eastAsia="zh-CN" w:bidi="ar"/>
              </w:rPr>
              <w:t>。</w:t>
            </w:r>
            <w:r>
              <w:rPr>
                <w:rStyle w:val="17"/>
                <w:rFonts w:hAnsi="宋体"/>
                <w:lang w:val="en-US" w:eastAsia="zh-CN" w:bidi="ar"/>
              </w:rPr>
              <w:t>对于线下收集的重大疑难涉企问题实行</w:t>
            </w:r>
            <w:r>
              <w:rPr>
                <w:rStyle w:val="18"/>
                <w:rFonts w:eastAsia="仿宋_GB2312"/>
                <w:lang w:val="en-US" w:eastAsia="zh-CN" w:bidi="ar"/>
              </w:rPr>
              <w:t>“</w:t>
            </w:r>
            <w:r>
              <w:rPr>
                <w:rStyle w:val="17"/>
                <w:rFonts w:hAnsi="宋体"/>
                <w:lang w:val="en-US" w:eastAsia="zh-CN" w:bidi="ar"/>
              </w:rPr>
              <w:t>简单办结</w:t>
            </w:r>
            <w:r>
              <w:rPr>
                <w:rStyle w:val="18"/>
                <w:rFonts w:eastAsia="仿宋_GB2312"/>
                <w:lang w:val="en-US" w:eastAsia="zh-CN" w:bidi="ar"/>
              </w:rPr>
              <w:t>”</w:t>
            </w:r>
            <w:r>
              <w:rPr>
                <w:rStyle w:val="17"/>
                <w:rFonts w:hAnsi="宋体"/>
                <w:lang w:val="en-US" w:eastAsia="zh-CN" w:bidi="ar"/>
              </w:rPr>
              <w:t>甚至</w:t>
            </w:r>
            <w:r>
              <w:rPr>
                <w:rStyle w:val="18"/>
                <w:rFonts w:eastAsia="仿宋_GB2312"/>
                <w:lang w:val="en-US" w:eastAsia="zh-CN" w:bidi="ar"/>
              </w:rPr>
              <w:t>“</w:t>
            </w:r>
            <w:r>
              <w:rPr>
                <w:rStyle w:val="17"/>
                <w:rFonts w:hAnsi="宋体"/>
                <w:lang w:val="en-US" w:eastAsia="zh-CN" w:bidi="ar"/>
              </w:rPr>
              <w:t>体外循环</w:t>
            </w:r>
            <w:r>
              <w:rPr>
                <w:rStyle w:val="18"/>
                <w:rFonts w:eastAsia="仿宋_GB2312"/>
                <w:lang w:val="en-US" w:eastAsia="zh-CN" w:bidi="ar"/>
              </w:rPr>
              <w:t>”</w:t>
            </w:r>
            <w:r>
              <w:rPr>
                <w:rStyle w:val="17"/>
                <w:rFonts w:hAnsi="宋体"/>
                <w:lang w:val="en-US" w:eastAsia="zh-CN" w:bidi="ar"/>
              </w:rPr>
              <w:t>，导致个别企业重复反映、普遍反映的难点问题长期得不到有效解决。</w:t>
            </w:r>
          </w:p>
        </w:tc>
        <w:tc>
          <w:tcPr>
            <w:tcW w:w="1651" w:type="dxa"/>
            <w:tcBorders>
              <w:tl2br w:val="nil"/>
              <w:tr2bl w:val="nil"/>
            </w:tcBorders>
            <w:noWrap w:val="0"/>
            <w:vAlign w:val="center"/>
          </w:tcPr>
          <w:p w14:paraId="55D10CE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请结合推动涉企问题闭环解决机制落地执行工作，就</w:t>
            </w:r>
            <w:r>
              <w:rPr>
                <w:rStyle w:val="16"/>
                <w:rFonts w:hAnsi="宋体"/>
                <w:lang w:val="en-US" w:eastAsia="zh-CN" w:bidi="ar"/>
              </w:rPr>
              <w:t>片面追求“办结率”和“满意度”</w:t>
            </w:r>
            <w:r>
              <w:rPr>
                <w:rStyle w:val="17"/>
                <w:rFonts w:hAnsi="宋体"/>
                <w:lang w:val="en-US" w:eastAsia="zh-CN" w:bidi="ar"/>
              </w:rPr>
              <w:t>问题深入开展研究，制定整改举措，切实抓好落实。</w:t>
            </w:r>
          </w:p>
        </w:tc>
        <w:tc>
          <w:tcPr>
            <w:tcW w:w="8315" w:type="dxa"/>
            <w:tcBorders>
              <w:tl2br w:val="nil"/>
              <w:tr2bl w:val="nil"/>
            </w:tcBorders>
            <w:noWrap w:val="0"/>
            <w:vAlign w:val="center"/>
          </w:tcPr>
          <w:p w14:paraId="4F979404">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自查自纠：</w:t>
            </w:r>
            <w:r>
              <w:rPr>
                <w:rFonts w:hint="eastAsia" w:ascii="仿宋_GB2312" w:hAnsi="仿宋_GB2312" w:eastAsia="仿宋_GB2312" w:cs="仿宋_GB2312"/>
                <w:lang w:val="en-US" w:eastAsia="zh-CN"/>
              </w:rPr>
              <w:t>萧山区起草《杭州市萧山区构建涉企问题高效闭环解决机制的实施方案》（征求意见稿），围绕发现问题、解决问题全流程，在“主动发现、高效处置、举一反三、晾晒评价”四个环节中进行“萧山创新”，建立四项机制，并明确实现涉企问题“一个口子”受理、流转、督办、反馈，探索从解决“一个问题”到破解“一类问题”。</w:t>
            </w:r>
            <w:bookmarkStart w:id="0" w:name="_GoBack"/>
            <w:bookmarkEnd w:id="0"/>
          </w:p>
          <w:p w14:paraId="264593E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lang w:val="en-US" w:eastAsia="zh-CN"/>
              </w:rPr>
              <w:t>问题办理情况：</w:t>
            </w:r>
            <w:r>
              <w:rPr>
                <w:rFonts w:hint="eastAsia" w:ascii="仿宋_GB2312" w:hAnsi="仿宋_GB2312" w:eastAsia="仿宋_GB2312" w:cs="仿宋_GB2312"/>
                <w:lang w:val="en-US" w:eastAsia="zh-CN"/>
              </w:rPr>
              <w:t>一是打造监察督帮闭环。引入“好差评”体系，贯通区纪委公权力大数据监督应用场景，构建覆盖日常管理、业务推进、人员服务、办事评价等全过程、可晾晒的指标体系，重点监测涉企问题超时办结、多次重复发生等情况，并对排名垫底、不作为、不担当等行为进行约谈问责，相关结果与区级年终考评挂钩，实现以评促改、以评促优。二是建立“容错免责”担当机制。由区纪委牵头，出台《关于进一步完善容错免责机制为党员干部“有为实干”担当的实施办法（试行）》，为担当者担当、为负责者负责、为干事者撑腰。</w:t>
            </w:r>
          </w:p>
        </w:tc>
      </w:tr>
    </w:tbl>
    <w:p w14:paraId="2F671C76">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259A93-C88E-43E2-8241-D831B12192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474A0B6-055B-49D5-B157-41C0AF949B71}"/>
  </w:font>
  <w:font w:name="方正小标宋简体">
    <w:panose1 w:val="02000000000000000000"/>
    <w:charset w:val="86"/>
    <w:family w:val="auto"/>
    <w:pitch w:val="default"/>
    <w:sig w:usb0="A00002BF" w:usb1="184F6CFA" w:usb2="00000012" w:usb3="00000000" w:csb0="00040001" w:csb1="00000000"/>
    <w:embedRegular r:id="rId3" w:fontKey="{174A921B-E050-44CD-8A19-4D980588F73C}"/>
  </w:font>
  <w:font w:name="仿宋">
    <w:panose1 w:val="02010609060101010101"/>
    <w:charset w:val="86"/>
    <w:family w:val="auto"/>
    <w:pitch w:val="default"/>
    <w:sig w:usb0="800002BF" w:usb1="38CF7CFA" w:usb2="00000016" w:usb3="00000000" w:csb0="00040001" w:csb1="00000000"/>
    <w:embedRegular r:id="rId4" w:fontKey="{3BE64743-F39F-43DF-82B6-A82AC2D1D66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49B8D"/>
    <w:multiLevelType w:val="singleLevel"/>
    <w:tmpl w:val="0F649B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jM0MzI5YjUxN2U2MmVjZmEyZDQwMDA1ZTVhYzcifQ=="/>
    <w:docVar w:name="KSO_WPS_MARK_KEY" w:val="d63369ca-a73f-4827-8947-f28e03e25499"/>
  </w:docVars>
  <w:rsids>
    <w:rsidRoot w:val="00130CB9"/>
    <w:rsid w:val="00106D54"/>
    <w:rsid w:val="00130CB9"/>
    <w:rsid w:val="001A7F99"/>
    <w:rsid w:val="001C3ABA"/>
    <w:rsid w:val="00263DA2"/>
    <w:rsid w:val="002A1644"/>
    <w:rsid w:val="002E450E"/>
    <w:rsid w:val="002E6724"/>
    <w:rsid w:val="00331E3F"/>
    <w:rsid w:val="00350A33"/>
    <w:rsid w:val="00367125"/>
    <w:rsid w:val="0038217F"/>
    <w:rsid w:val="003A20EF"/>
    <w:rsid w:val="003B625B"/>
    <w:rsid w:val="003F5249"/>
    <w:rsid w:val="00400D04"/>
    <w:rsid w:val="00413820"/>
    <w:rsid w:val="00435F74"/>
    <w:rsid w:val="004555AA"/>
    <w:rsid w:val="004F3D1F"/>
    <w:rsid w:val="00591B64"/>
    <w:rsid w:val="006074C4"/>
    <w:rsid w:val="006425C3"/>
    <w:rsid w:val="00655D37"/>
    <w:rsid w:val="00676C33"/>
    <w:rsid w:val="006B5144"/>
    <w:rsid w:val="00736C14"/>
    <w:rsid w:val="00827165"/>
    <w:rsid w:val="008B4C1F"/>
    <w:rsid w:val="008D6674"/>
    <w:rsid w:val="009340A0"/>
    <w:rsid w:val="0096223B"/>
    <w:rsid w:val="0098192A"/>
    <w:rsid w:val="009A5545"/>
    <w:rsid w:val="009C4BD9"/>
    <w:rsid w:val="009E2962"/>
    <w:rsid w:val="00A32BCC"/>
    <w:rsid w:val="00AB3AED"/>
    <w:rsid w:val="00AF694F"/>
    <w:rsid w:val="00B221DF"/>
    <w:rsid w:val="00B6191E"/>
    <w:rsid w:val="00BC67FD"/>
    <w:rsid w:val="00C01F6D"/>
    <w:rsid w:val="00C31E36"/>
    <w:rsid w:val="00C37612"/>
    <w:rsid w:val="00C63B6A"/>
    <w:rsid w:val="00CA4B0B"/>
    <w:rsid w:val="00CB6286"/>
    <w:rsid w:val="00CE3E72"/>
    <w:rsid w:val="00CF0227"/>
    <w:rsid w:val="00D0714C"/>
    <w:rsid w:val="00D85B27"/>
    <w:rsid w:val="00DB5B2E"/>
    <w:rsid w:val="00DB5B3A"/>
    <w:rsid w:val="00E31E63"/>
    <w:rsid w:val="00E451D2"/>
    <w:rsid w:val="00E53CFE"/>
    <w:rsid w:val="00F5442A"/>
    <w:rsid w:val="00FA4E16"/>
    <w:rsid w:val="00FE0FA8"/>
    <w:rsid w:val="017610A5"/>
    <w:rsid w:val="02EE46C7"/>
    <w:rsid w:val="036B7A16"/>
    <w:rsid w:val="03C76963"/>
    <w:rsid w:val="05687A1E"/>
    <w:rsid w:val="05AF2976"/>
    <w:rsid w:val="06497581"/>
    <w:rsid w:val="06714493"/>
    <w:rsid w:val="0A877BF6"/>
    <w:rsid w:val="0AC57974"/>
    <w:rsid w:val="0D654147"/>
    <w:rsid w:val="0F1208CC"/>
    <w:rsid w:val="0FE73105"/>
    <w:rsid w:val="13785584"/>
    <w:rsid w:val="14210C51"/>
    <w:rsid w:val="180418BA"/>
    <w:rsid w:val="181F6366"/>
    <w:rsid w:val="18267CA4"/>
    <w:rsid w:val="185047BD"/>
    <w:rsid w:val="191B353D"/>
    <w:rsid w:val="19A91E82"/>
    <w:rsid w:val="1A0A0038"/>
    <w:rsid w:val="1AC40C7B"/>
    <w:rsid w:val="1B5E7755"/>
    <w:rsid w:val="1BDB5BDD"/>
    <w:rsid w:val="1C0F4EF3"/>
    <w:rsid w:val="1C8B0821"/>
    <w:rsid w:val="21EB7868"/>
    <w:rsid w:val="25196AC5"/>
    <w:rsid w:val="26320CCB"/>
    <w:rsid w:val="282F6B09"/>
    <w:rsid w:val="28B31927"/>
    <w:rsid w:val="2A4620A3"/>
    <w:rsid w:val="2B5F7536"/>
    <w:rsid w:val="2B802C2A"/>
    <w:rsid w:val="2C5B55EB"/>
    <w:rsid w:val="2C6B2DB9"/>
    <w:rsid w:val="2D2262A8"/>
    <w:rsid w:val="2DB297E4"/>
    <w:rsid w:val="2DE43F6E"/>
    <w:rsid w:val="30402300"/>
    <w:rsid w:val="33776A26"/>
    <w:rsid w:val="34144134"/>
    <w:rsid w:val="35E055D7"/>
    <w:rsid w:val="386119D4"/>
    <w:rsid w:val="3ACD3B57"/>
    <w:rsid w:val="3B1603EA"/>
    <w:rsid w:val="3DE22043"/>
    <w:rsid w:val="3F7B2FDB"/>
    <w:rsid w:val="3FFF6FFA"/>
    <w:rsid w:val="436D4FB1"/>
    <w:rsid w:val="468416DE"/>
    <w:rsid w:val="49957F36"/>
    <w:rsid w:val="49A94D0C"/>
    <w:rsid w:val="4ACD36E9"/>
    <w:rsid w:val="4C48536F"/>
    <w:rsid w:val="4CC34DBA"/>
    <w:rsid w:val="4D440BF3"/>
    <w:rsid w:val="4E194E4F"/>
    <w:rsid w:val="4FDF5F2C"/>
    <w:rsid w:val="50D14DC3"/>
    <w:rsid w:val="50DA3711"/>
    <w:rsid w:val="53395DD6"/>
    <w:rsid w:val="5345477B"/>
    <w:rsid w:val="54BD13ED"/>
    <w:rsid w:val="57DAF4DC"/>
    <w:rsid w:val="58761E2F"/>
    <w:rsid w:val="5B0B12AD"/>
    <w:rsid w:val="5B4445F7"/>
    <w:rsid w:val="5B8731D3"/>
    <w:rsid w:val="5FFE63D6"/>
    <w:rsid w:val="5FFE63DD"/>
    <w:rsid w:val="618E68BA"/>
    <w:rsid w:val="619C7C5C"/>
    <w:rsid w:val="655530EC"/>
    <w:rsid w:val="67F4E7F2"/>
    <w:rsid w:val="68540658"/>
    <w:rsid w:val="68793900"/>
    <w:rsid w:val="698C3D1C"/>
    <w:rsid w:val="6A664361"/>
    <w:rsid w:val="6BFE3B68"/>
    <w:rsid w:val="6C8824A7"/>
    <w:rsid w:val="6C9050E9"/>
    <w:rsid w:val="6F4A1255"/>
    <w:rsid w:val="7119633D"/>
    <w:rsid w:val="717830A1"/>
    <w:rsid w:val="72E3156F"/>
    <w:rsid w:val="74804D49"/>
    <w:rsid w:val="74A90F99"/>
    <w:rsid w:val="74D72E90"/>
    <w:rsid w:val="752B5127"/>
    <w:rsid w:val="757B3293"/>
    <w:rsid w:val="75944493"/>
    <w:rsid w:val="76216673"/>
    <w:rsid w:val="778D5450"/>
    <w:rsid w:val="78912A10"/>
    <w:rsid w:val="797F6500"/>
    <w:rsid w:val="7A432E23"/>
    <w:rsid w:val="7A8D2E7D"/>
    <w:rsid w:val="7B4FFCDB"/>
    <w:rsid w:val="7B661A27"/>
    <w:rsid w:val="7B8B0D6B"/>
    <w:rsid w:val="7C6C2F9C"/>
    <w:rsid w:val="7DFD196D"/>
    <w:rsid w:val="7E7E56FB"/>
    <w:rsid w:val="7EEBB521"/>
    <w:rsid w:val="7F5434CC"/>
    <w:rsid w:val="7FFF7792"/>
    <w:rsid w:val="B37BA112"/>
    <w:rsid w:val="B7317138"/>
    <w:rsid w:val="B7F78E4A"/>
    <w:rsid w:val="CFBF8038"/>
    <w:rsid w:val="D6CDEA08"/>
    <w:rsid w:val="D77ECBD8"/>
    <w:rsid w:val="D9FF194C"/>
    <w:rsid w:val="DD7EBE84"/>
    <w:rsid w:val="DFF3C186"/>
    <w:rsid w:val="DFFE1D3C"/>
    <w:rsid w:val="EDAFB34E"/>
    <w:rsid w:val="EEF6D4B3"/>
    <w:rsid w:val="EF6FEB2A"/>
    <w:rsid w:val="F7FF7AD1"/>
    <w:rsid w:val="FEBD346D"/>
    <w:rsid w:val="FEDFA967"/>
    <w:rsid w:val="FEFFC299"/>
    <w:rsid w:val="FF1DA039"/>
    <w:rsid w:val="FF7DB00A"/>
    <w:rsid w:val="FF9680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Lines="0" w:beforeAutospacing="0" w:afterLines="0" w:afterAutospacing="0" w:line="240" w:lineRule="auto"/>
      <w:outlineLvl w:val="0"/>
    </w:pPr>
    <w:rPr>
      <w:rFonts w:eastAsia="黑体"/>
      <w:kern w:val="44"/>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OfAuthoring"/>
    <w:next w:val="1"/>
    <w:qFormat/>
    <w:uiPriority w:val="99"/>
    <w:pPr>
      <w:overflowPunct w:val="0"/>
      <w:autoSpaceDE w:val="0"/>
      <w:autoSpaceDN w:val="0"/>
      <w:adjustRightInd w:val="0"/>
      <w:ind w:left="420" w:leftChars="200"/>
      <w:jc w:val="both"/>
      <w:textAlignment w:val="baseline"/>
    </w:pPr>
    <w:rPr>
      <w:rFonts w:ascii="Times New Roman" w:hAnsi="Times New Roman" w:eastAsia="宋体" w:cs="Times New Roman"/>
      <w:kern w:val="0"/>
      <w:sz w:val="21"/>
      <w:szCs w:val="21"/>
      <w:lang w:val="en-US" w:eastAsia="zh-CN" w:bidi="ar-SA"/>
    </w:rPr>
  </w:style>
  <w:style w:type="character" w:customStyle="1" w:styleId="11">
    <w:name w:val="批注框文本 Char"/>
    <w:basedOn w:val="9"/>
    <w:link w:val="3"/>
    <w:semiHidden/>
    <w:qFormat/>
    <w:locked/>
    <w:uiPriority w:val="99"/>
    <w:rPr>
      <w:sz w:val="18"/>
      <w:szCs w:val="18"/>
    </w:rPr>
  </w:style>
  <w:style w:type="character" w:customStyle="1" w:styleId="12">
    <w:name w:val="页眉 Char"/>
    <w:basedOn w:val="9"/>
    <w:link w:val="5"/>
    <w:semiHidden/>
    <w:qFormat/>
    <w:uiPriority w:val="99"/>
    <w:rPr>
      <w:rFonts w:cs="Calibri"/>
      <w:sz w:val="18"/>
      <w:szCs w:val="18"/>
    </w:rPr>
  </w:style>
  <w:style w:type="character" w:customStyle="1" w:styleId="13">
    <w:name w:val="页脚 Char"/>
    <w:basedOn w:val="9"/>
    <w:link w:val="4"/>
    <w:qFormat/>
    <w:uiPriority w:val="99"/>
    <w:rPr>
      <w:rFonts w:cs="Calibri"/>
      <w:sz w:val="18"/>
      <w:szCs w:val="18"/>
    </w:rPr>
  </w:style>
  <w:style w:type="character" w:customStyle="1" w:styleId="14">
    <w:name w:val="font41"/>
    <w:basedOn w:val="9"/>
    <w:qFormat/>
    <w:uiPriority w:val="0"/>
    <w:rPr>
      <w:rFonts w:hint="eastAsia" w:ascii="黑体" w:hAnsi="宋体" w:eastAsia="黑体" w:cs="黑体"/>
      <w:color w:val="000000"/>
      <w:sz w:val="24"/>
      <w:szCs w:val="24"/>
      <w:u w:val="none"/>
    </w:rPr>
  </w:style>
  <w:style w:type="character" w:customStyle="1" w:styleId="15">
    <w:name w:val="font61"/>
    <w:basedOn w:val="9"/>
    <w:qFormat/>
    <w:uiPriority w:val="0"/>
    <w:rPr>
      <w:rFonts w:hint="default" w:ascii="Times New Roman" w:hAnsi="Times New Roman" w:cs="Times New Roman"/>
      <w:b/>
      <w:bCs/>
      <w:color w:val="000000"/>
      <w:sz w:val="24"/>
      <w:szCs w:val="24"/>
      <w:u w:val="none"/>
    </w:rPr>
  </w:style>
  <w:style w:type="character" w:customStyle="1" w:styleId="16">
    <w:name w:val="font31"/>
    <w:basedOn w:val="9"/>
    <w:qFormat/>
    <w:uiPriority w:val="0"/>
    <w:rPr>
      <w:rFonts w:hint="eastAsia" w:ascii="仿宋_GB2312" w:eastAsia="仿宋_GB2312" w:cs="仿宋_GB2312"/>
      <w:b/>
      <w:bCs/>
      <w:color w:val="000000"/>
      <w:sz w:val="24"/>
      <w:szCs w:val="24"/>
      <w:u w:val="none"/>
    </w:rPr>
  </w:style>
  <w:style w:type="character" w:customStyle="1" w:styleId="17">
    <w:name w:val="font01"/>
    <w:basedOn w:val="9"/>
    <w:qFormat/>
    <w:uiPriority w:val="0"/>
    <w:rPr>
      <w:rFonts w:hint="eastAsia" w:ascii="仿宋_GB2312" w:eastAsia="仿宋_GB2312" w:cs="仿宋_GB2312"/>
      <w:color w:val="000000"/>
      <w:sz w:val="24"/>
      <w:szCs w:val="24"/>
      <w:u w:val="none"/>
    </w:rPr>
  </w:style>
  <w:style w:type="character" w:customStyle="1" w:styleId="18">
    <w:name w:val="font2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www.ftpdown.com</Company>
  <Pages>5</Pages>
  <Words>4508</Words>
  <Characters>4550</Characters>
  <Lines>1</Lines>
  <Paragraphs>1</Paragraphs>
  <TotalTime>1020</TotalTime>
  <ScaleCrop>false</ScaleCrop>
  <LinksUpToDate>false</LinksUpToDate>
  <CharactersWithSpaces>4553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2019-01-28T03:38:00Z</dcterms:created>
  <dc:creator>PBKSJB</dc:creator>
  <cp:lastModifiedBy>康提基的远征</cp:lastModifiedBy>
  <cp:lastPrinted>2024-08-01T09:26:00Z</cp:lastPrinted>
  <dcterms:modified xsi:type="dcterms:W3CDTF">2024-08-12T01:48:42Z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E32D64CACF3942B9B0A3569277D3248F_13</vt:lpwstr>
  </property>
</Properties>
</file>