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pPr>
      <w:r>
        <w:rPr>
          <w:rFonts w:hint="eastAsia"/>
          <w:b/>
          <w:bCs/>
          <w:sz w:val="44"/>
          <w:szCs w:val="44"/>
          <w:lang w:eastAsia="zh-CN"/>
        </w:rPr>
        <w:t>杭州市数据</w:t>
      </w:r>
      <w:bookmarkStart w:id="15" w:name="_GoBack"/>
      <w:bookmarkEnd w:id="15"/>
      <w:r>
        <w:rPr>
          <w:rFonts w:hint="eastAsia"/>
          <w:b/>
          <w:bCs/>
          <w:sz w:val="44"/>
          <w:szCs w:val="44"/>
        </w:rPr>
        <w:t>共享平台使用说明</w:t>
      </w:r>
    </w:p>
    <w:p/>
    <w:p/>
    <w:p/>
    <w:p/>
    <w:p/>
    <w:p/>
    <w:p/>
    <w:p/>
    <w:p/>
    <w:p/>
    <w:p/>
    <w:p/>
    <w:p/>
    <w:p/>
    <w:p/>
    <w:p/>
    <w:p/>
    <w:p/>
    <w:p/>
    <w:p/>
    <w:p/>
    <w:p/>
    <w:p/>
    <w:p/>
    <w:p/>
    <w:p/>
    <w:p/>
    <w:p/>
    <w:p/>
    <w:p/>
    <w:p>
      <w:pPr>
        <w:jc w:val="center"/>
        <w:rPr>
          <w:sz w:val="32"/>
          <w:szCs w:val="32"/>
        </w:rPr>
      </w:pPr>
      <w:r>
        <w:rPr>
          <w:rFonts w:hint="eastAsia"/>
          <w:sz w:val="32"/>
          <w:szCs w:val="32"/>
        </w:rPr>
        <w:t>2019年07月</w:t>
      </w:r>
      <w:r>
        <w:rPr>
          <w:rFonts w:hint="eastAsia"/>
          <w:sz w:val="32"/>
          <w:szCs w:val="32"/>
          <w:lang w:val="en-US" w:eastAsia="zh-CN"/>
        </w:rPr>
        <w:t>15</w:t>
      </w:r>
      <w:r>
        <w:rPr>
          <w:rFonts w:hint="eastAsia"/>
          <w:sz w:val="32"/>
          <w:szCs w:val="32"/>
        </w:rPr>
        <w:t>日</w:t>
      </w:r>
    </w:p>
    <w:p/>
    <w:p/>
    <w:p/>
    <w:p/>
    <w:sdt>
      <w:sdtPr>
        <w:rPr>
          <w:lang w:val="zh-CN"/>
        </w:rPr>
        <w:id w:val="-24019352"/>
        <w:docPartObj>
          <w:docPartGallery w:val="Table of Contents"/>
          <w:docPartUnique/>
        </w:docPartObj>
      </w:sdtPr>
      <w:sdtEndPr>
        <w:rPr>
          <w:rFonts w:ascii="Times New Roman" w:hAnsi="Times New Roman" w:eastAsia="宋体" w:cs="Times New Roman"/>
          <w:color w:val="auto"/>
          <w:sz w:val="24"/>
          <w:szCs w:val="24"/>
          <w:lang w:val="zh-CN"/>
        </w:rPr>
      </w:sdtEndPr>
      <w:sdtContent>
        <w:p>
          <w:pPr>
            <w:pStyle w:val="21"/>
            <w:spacing w:line="360" w:lineRule="auto"/>
            <w:jc w:val="center"/>
            <w:rPr>
              <w:sz w:val="32"/>
            </w:rPr>
          </w:pPr>
          <w:r>
            <w:rPr>
              <w:color w:val="auto"/>
              <w:sz w:val="32"/>
              <w:lang w:val="zh-CN"/>
            </w:rPr>
            <w:t>目录</w:t>
          </w:r>
        </w:p>
        <w:p>
          <w:pPr>
            <w:pStyle w:val="12"/>
            <w:tabs>
              <w:tab w:val="right" w:leader="dot" w:pos="8296"/>
            </w:tabs>
            <w:spacing w:line="360" w:lineRule="auto"/>
            <w:ind w:left="480"/>
            <w:rPr>
              <w:rFonts w:asciiTheme="minorHAnsi" w:hAnsiTheme="minorHAnsi" w:eastAsiaTheme="minorEastAsia" w:cstheme="minorBidi"/>
              <w:kern w:val="2"/>
              <w:sz w:val="21"/>
              <w:szCs w:val="22"/>
            </w:rPr>
          </w:pPr>
          <w:r>
            <w:rPr>
              <w:sz w:val="28"/>
            </w:rPr>
            <w:fldChar w:fldCharType="begin"/>
          </w:r>
          <w:r>
            <w:rPr>
              <w:sz w:val="28"/>
            </w:rPr>
            <w:instrText xml:space="preserve"> TOC \o "1-3" \h \z \u </w:instrText>
          </w:r>
          <w:r>
            <w:rPr>
              <w:sz w:val="28"/>
            </w:rPr>
            <w:fldChar w:fldCharType="separate"/>
          </w:r>
          <w:r>
            <w:fldChar w:fldCharType="begin"/>
          </w:r>
          <w:r>
            <w:instrText xml:space="preserve"> HYPERLINK \l "_Toc13854570" </w:instrText>
          </w:r>
          <w:r>
            <w:fldChar w:fldCharType="separate"/>
          </w:r>
          <w:r>
            <w:rPr>
              <w:rStyle w:val="16"/>
            </w:rPr>
            <w:t>0.</w:t>
          </w:r>
          <w:r>
            <w:rPr>
              <w:rStyle w:val="16"/>
              <w:rFonts w:hint="eastAsia"/>
            </w:rPr>
            <w:t>系统介绍</w:t>
          </w:r>
          <w:r>
            <w:tab/>
          </w:r>
          <w:r>
            <w:fldChar w:fldCharType="begin"/>
          </w:r>
          <w:r>
            <w:instrText xml:space="preserve"> PAGEREF _Toc13854570 \h </w:instrText>
          </w:r>
          <w:r>
            <w:fldChar w:fldCharType="separate"/>
          </w:r>
          <w:r>
            <w:t>- 3 -</w:t>
          </w:r>
          <w:r>
            <w:fldChar w:fldCharType="end"/>
          </w:r>
          <w:r>
            <w:fldChar w:fldCharType="end"/>
          </w:r>
        </w:p>
        <w:p>
          <w:pPr>
            <w:pStyle w:val="12"/>
            <w:tabs>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"_Toc13854571" </w:instrText>
          </w:r>
          <w:r>
            <w:fldChar w:fldCharType="separate"/>
          </w:r>
          <w:r>
            <w:rPr>
              <w:rStyle w:val="16"/>
            </w:rPr>
            <w:t>1.</w:t>
          </w:r>
          <w:r>
            <w:rPr>
              <w:rStyle w:val="16"/>
              <w:rFonts w:hint="eastAsia"/>
            </w:rPr>
            <w:t>登录系统</w:t>
          </w:r>
          <w:r>
            <w:tab/>
          </w:r>
          <w:r>
            <w:fldChar w:fldCharType="begin"/>
          </w:r>
          <w:r>
            <w:instrText xml:space="preserve"> PAGEREF _Toc13854571 \h </w:instrText>
          </w:r>
          <w:r>
            <w:fldChar w:fldCharType="separate"/>
          </w:r>
          <w:r>
            <w:t>- 3 -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"_Toc13854572" </w:instrText>
          </w:r>
          <w:r>
            <w:fldChar w:fldCharType="separate"/>
          </w:r>
          <w:r>
            <w:rPr>
              <w:rStyle w:val="16"/>
            </w:rPr>
            <w:t>2.</w:t>
          </w:r>
          <w:r>
            <w:rPr>
              <w:rFonts w:asciiTheme="minorHAnsi" w:hAnsiTheme="minorHAnsi" w:eastAsiaTheme="minorEastAsia" w:cstheme="minorBidi"/>
              <w:kern w:val="2"/>
              <w:sz w:val="21"/>
              <w:szCs w:val="22"/>
            </w:rPr>
            <w:tab/>
          </w:r>
          <w:r>
            <w:rPr>
              <w:rStyle w:val="16"/>
              <w:rFonts w:hint="eastAsia"/>
            </w:rPr>
            <w:t>材料查询</w:t>
          </w:r>
          <w:r>
            <w:tab/>
          </w:r>
          <w:r>
            <w:fldChar w:fldCharType="begin"/>
          </w:r>
          <w:r>
            <w:instrText xml:space="preserve"> PAGEREF _Toc13854572 \h </w:instrText>
          </w:r>
          <w:r>
            <w:fldChar w:fldCharType="separate"/>
          </w:r>
          <w:r>
            <w:t>- 5 -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"_Toc13854573" </w:instrText>
          </w:r>
          <w:r>
            <w:fldChar w:fldCharType="separate"/>
          </w:r>
          <w:r>
            <w:rPr>
              <w:rStyle w:val="16"/>
            </w:rPr>
            <w:t xml:space="preserve">2.1 </w:t>
          </w:r>
          <w:r>
            <w:rPr>
              <w:rStyle w:val="16"/>
              <w:rFonts w:hint="eastAsia"/>
            </w:rPr>
            <w:t>按材料查询（单个材料）</w:t>
          </w:r>
          <w:r>
            <w:tab/>
          </w:r>
          <w:r>
            <w:fldChar w:fldCharType="begin"/>
          </w:r>
          <w:r>
            <w:instrText xml:space="preserve"> PAGEREF _Toc13854573 \h </w:instrText>
          </w:r>
          <w:r>
            <w:fldChar w:fldCharType="separate"/>
          </w:r>
          <w:r>
            <w:t>- 6 -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"_Toc13854574" </w:instrText>
          </w:r>
          <w:r>
            <w:fldChar w:fldCharType="separate"/>
          </w:r>
          <w:r>
            <w:rPr>
              <w:rStyle w:val="16"/>
            </w:rPr>
            <w:t xml:space="preserve">2.2 </w:t>
          </w:r>
          <w:r>
            <w:rPr>
              <w:rStyle w:val="16"/>
              <w:rFonts w:hint="eastAsia"/>
            </w:rPr>
            <w:t>按事项查询（多个材料）</w:t>
          </w:r>
          <w:r>
            <w:tab/>
          </w:r>
          <w:r>
            <w:fldChar w:fldCharType="begin"/>
          </w:r>
          <w:r>
            <w:instrText xml:space="preserve"> PAGEREF _Toc13854574 \h </w:instrText>
          </w:r>
          <w:r>
            <w:fldChar w:fldCharType="separate"/>
          </w:r>
          <w:r>
            <w:t>- 8 -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"_Toc13854575" </w:instrText>
          </w:r>
          <w:r>
            <w:fldChar w:fldCharType="separate"/>
          </w:r>
          <w:r>
            <w:rPr>
              <w:rStyle w:val="16"/>
            </w:rPr>
            <w:t>3.</w:t>
          </w:r>
          <w:r>
            <w:rPr>
              <w:rFonts w:asciiTheme="minorHAnsi" w:hAnsiTheme="minorHAnsi" w:eastAsiaTheme="minorEastAsia" w:cstheme="minorBidi"/>
              <w:kern w:val="2"/>
              <w:sz w:val="21"/>
              <w:szCs w:val="22"/>
            </w:rPr>
            <w:tab/>
          </w:r>
          <w:r>
            <w:rPr>
              <w:rStyle w:val="16"/>
              <w:rFonts w:hint="eastAsia"/>
            </w:rPr>
            <w:t>资源</w:t>
          </w:r>
          <w:r>
            <w:tab/>
          </w:r>
          <w:r>
            <w:fldChar w:fldCharType="begin"/>
          </w:r>
          <w:r>
            <w:instrText xml:space="preserve"> PAGEREF _Toc13854575 \h </w:instrText>
          </w:r>
          <w:r>
            <w:fldChar w:fldCharType="separate"/>
          </w:r>
          <w:r>
            <w:t>- 10 -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"_Toc13854576" </w:instrText>
          </w:r>
          <w:r>
            <w:fldChar w:fldCharType="separate"/>
          </w:r>
          <w:r>
            <w:rPr>
              <w:rStyle w:val="16"/>
            </w:rPr>
            <w:t>4.</w:t>
          </w:r>
          <w:r>
            <w:rPr>
              <w:rFonts w:asciiTheme="minorHAnsi" w:hAnsiTheme="minorHAnsi" w:eastAsiaTheme="minorEastAsia" w:cstheme="minorBidi"/>
              <w:kern w:val="2"/>
              <w:sz w:val="21"/>
              <w:szCs w:val="22"/>
            </w:rPr>
            <w:tab/>
          </w:r>
          <w:r>
            <w:rPr>
              <w:rStyle w:val="16"/>
              <w:rFonts w:hint="eastAsia"/>
            </w:rPr>
            <w:t>读卡器测试</w:t>
          </w:r>
          <w:r>
            <w:tab/>
          </w:r>
          <w:r>
            <w:fldChar w:fldCharType="begin"/>
          </w:r>
          <w:r>
            <w:instrText xml:space="preserve"> PAGEREF _Toc13854576 \h </w:instrText>
          </w:r>
          <w:r>
            <w:fldChar w:fldCharType="separate"/>
          </w:r>
          <w:r>
            <w:t>- 10 -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"_Toc13854577" </w:instrText>
          </w:r>
          <w:r>
            <w:fldChar w:fldCharType="separate"/>
          </w:r>
          <w:r>
            <w:rPr>
              <w:rStyle w:val="16"/>
            </w:rPr>
            <w:t>5.</w:t>
          </w:r>
          <w:r>
            <w:rPr>
              <w:rFonts w:asciiTheme="minorHAnsi" w:hAnsiTheme="minorHAnsi" w:eastAsiaTheme="minorEastAsia" w:cstheme="minorBidi"/>
              <w:kern w:val="2"/>
              <w:sz w:val="21"/>
              <w:szCs w:val="22"/>
            </w:rPr>
            <w:tab/>
          </w:r>
          <w:r>
            <w:rPr>
              <w:rStyle w:val="16"/>
              <w:rFonts w:hint="eastAsia"/>
            </w:rPr>
            <w:t>材料核查</w:t>
          </w:r>
          <w:r>
            <w:tab/>
          </w:r>
          <w:r>
            <w:fldChar w:fldCharType="begin"/>
          </w:r>
          <w:r>
            <w:instrText xml:space="preserve"> PAGEREF _Toc13854577 \h </w:instrText>
          </w:r>
          <w:r>
            <w:fldChar w:fldCharType="separate"/>
          </w:r>
          <w:r>
            <w:t>- 11 -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"_Toc13854578" </w:instrText>
          </w:r>
          <w:r>
            <w:fldChar w:fldCharType="separate"/>
          </w:r>
          <w:r>
            <w:rPr>
              <w:rStyle w:val="16"/>
            </w:rPr>
            <w:t>6.</w:t>
          </w:r>
          <w:r>
            <w:rPr>
              <w:rFonts w:asciiTheme="minorHAnsi" w:hAnsiTheme="minorHAnsi" w:eastAsiaTheme="minorEastAsia" w:cstheme="minorBidi"/>
              <w:kern w:val="2"/>
              <w:sz w:val="21"/>
              <w:szCs w:val="22"/>
            </w:rPr>
            <w:tab/>
          </w:r>
          <w:r>
            <w:rPr>
              <w:rStyle w:val="16"/>
              <w:rFonts w:hint="eastAsia"/>
            </w:rPr>
            <w:t>查询记录</w:t>
          </w:r>
          <w:r>
            <w:tab/>
          </w:r>
          <w:r>
            <w:fldChar w:fldCharType="begin"/>
          </w:r>
          <w:r>
            <w:instrText xml:space="preserve"> PAGEREF _Toc13854578 \h </w:instrText>
          </w:r>
          <w:r>
            <w:fldChar w:fldCharType="separate"/>
          </w:r>
          <w:r>
            <w:t>- 12 -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"_Toc13854579" </w:instrText>
          </w:r>
          <w:r>
            <w:fldChar w:fldCharType="separate"/>
          </w:r>
          <w:r>
            <w:rPr>
              <w:rStyle w:val="16"/>
            </w:rPr>
            <w:t>7.</w:t>
          </w:r>
          <w:r>
            <w:rPr>
              <w:rFonts w:asciiTheme="minorHAnsi" w:hAnsiTheme="minorHAnsi" w:eastAsiaTheme="minorEastAsia" w:cstheme="minorBidi"/>
              <w:kern w:val="2"/>
              <w:sz w:val="21"/>
              <w:szCs w:val="22"/>
            </w:rPr>
            <w:tab/>
          </w:r>
          <w:r>
            <w:rPr>
              <w:rStyle w:val="16"/>
              <w:rFonts w:hint="eastAsia"/>
            </w:rPr>
            <w:t>查询统计</w:t>
          </w:r>
          <w:r>
            <w:tab/>
          </w:r>
          <w:r>
            <w:fldChar w:fldCharType="begin"/>
          </w:r>
          <w:r>
            <w:instrText xml:space="preserve"> PAGEREF _Toc13854579 \h </w:instrText>
          </w:r>
          <w:r>
            <w:fldChar w:fldCharType="separate"/>
          </w:r>
          <w:r>
            <w:t>- 13 -</w:t>
          </w:r>
          <w:r>
            <w:fldChar w:fldCharType="end"/>
          </w:r>
          <w:r>
            <w:fldChar w:fldCharType="end"/>
          </w:r>
        </w:p>
        <w:p>
          <w:pPr>
            <w:pStyle w:val="12"/>
            <w:tabs>
              <w:tab w:val="left" w:pos="840"/>
              <w:tab w:val="right" w:leader="dot" w:pos="8296"/>
            </w:tabs>
            <w:spacing w:line="360" w:lineRule="auto"/>
            <w:ind w:left="480"/>
            <w:rPr>
              <w:rFonts w:asciiTheme="minorHAnsi" w:hAnsiTheme="minorHAnsi" w:eastAsiaTheme="minorEastAsia" w:cstheme="minorBidi"/>
              <w:kern w:val="2"/>
              <w:sz w:val="21"/>
              <w:szCs w:val="22"/>
            </w:rPr>
          </w:pPr>
          <w:r>
            <w:fldChar w:fldCharType="begin"/>
          </w:r>
          <w:r>
            <w:instrText xml:space="preserve"> HYPERLINK \l "_Toc13854580" </w:instrText>
          </w:r>
          <w:r>
            <w:fldChar w:fldCharType="separate"/>
          </w:r>
          <w:r>
            <w:rPr>
              <w:rStyle w:val="16"/>
            </w:rPr>
            <w:t>8.</w:t>
          </w:r>
          <w:r>
            <w:rPr>
              <w:rFonts w:asciiTheme="minorHAnsi" w:hAnsiTheme="minorHAnsi" w:eastAsiaTheme="minorEastAsia" w:cstheme="minorBidi"/>
              <w:kern w:val="2"/>
              <w:sz w:val="21"/>
              <w:szCs w:val="22"/>
            </w:rPr>
            <w:tab/>
          </w:r>
          <w:r>
            <w:rPr>
              <w:rStyle w:val="16"/>
              <w:rFonts w:hint="eastAsia"/>
            </w:rPr>
            <w:t>更多功能</w:t>
          </w:r>
          <w:r>
            <w:tab/>
          </w:r>
          <w:r>
            <w:fldChar w:fldCharType="begin"/>
          </w:r>
          <w:r>
            <w:instrText xml:space="preserve"> PAGEREF _Toc13854580 \h </w:instrText>
          </w:r>
          <w:r>
            <w:fldChar w:fldCharType="separate"/>
          </w:r>
          <w:r>
            <w:t>- 13 -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"_Toc13854581" </w:instrText>
          </w:r>
          <w:r>
            <w:fldChar w:fldCharType="separate"/>
          </w:r>
          <w:r>
            <w:rPr>
              <w:rStyle w:val="16"/>
            </w:rPr>
            <w:t>8.1</w:t>
          </w:r>
          <w:r>
            <w:rPr>
              <w:rStyle w:val="16"/>
              <w:rFonts w:hint="eastAsia"/>
            </w:rPr>
            <w:t>更多功能</w:t>
          </w:r>
          <w:r>
            <w:rPr>
              <w:rStyle w:val="16"/>
            </w:rPr>
            <w:t>--</w:t>
          </w:r>
          <w:r>
            <w:rPr>
              <w:rStyle w:val="16"/>
              <w:rFonts w:hint="eastAsia"/>
            </w:rPr>
            <w:t>平台通知发布</w:t>
          </w:r>
          <w:r>
            <w:tab/>
          </w:r>
          <w:r>
            <w:fldChar w:fldCharType="begin"/>
          </w:r>
          <w:r>
            <w:instrText xml:space="preserve"> PAGEREF _Toc13854581 \h </w:instrText>
          </w:r>
          <w:r>
            <w:fldChar w:fldCharType="separate"/>
          </w:r>
          <w:r>
            <w:t>- 14 -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"_Toc13854582" </w:instrText>
          </w:r>
          <w:r>
            <w:fldChar w:fldCharType="separate"/>
          </w:r>
          <w:r>
            <w:rPr>
              <w:rStyle w:val="16"/>
            </w:rPr>
            <w:t xml:space="preserve">8.2 </w:t>
          </w:r>
          <w:r>
            <w:rPr>
              <w:rStyle w:val="16"/>
              <w:rFonts w:hint="eastAsia"/>
            </w:rPr>
            <w:t>更多功能</w:t>
          </w:r>
          <w:r>
            <w:rPr>
              <w:rStyle w:val="16"/>
            </w:rPr>
            <w:t>--</w:t>
          </w:r>
          <w:r>
            <w:rPr>
              <w:rStyle w:val="16"/>
              <w:rFonts w:hint="eastAsia"/>
            </w:rPr>
            <w:t>问题反馈</w:t>
          </w:r>
          <w:r>
            <w:tab/>
          </w:r>
          <w:r>
            <w:fldChar w:fldCharType="begin"/>
          </w:r>
          <w:r>
            <w:instrText xml:space="preserve"> PAGEREF _Toc13854582 \h </w:instrText>
          </w:r>
          <w:r>
            <w:fldChar w:fldCharType="separate"/>
          </w:r>
          <w:r>
            <w:t>- 14 -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"_Toc13854583" </w:instrText>
          </w:r>
          <w:r>
            <w:fldChar w:fldCharType="separate"/>
          </w:r>
          <w:r>
            <w:rPr>
              <w:rStyle w:val="16"/>
            </w:rPr>
            <w:t xml:space="preserve">8.3 </w:t>
          </w:r>
          <w:r>
            <w:rPr>
              <w:rStyle w:val="16"/>
              <w:rFonts w:hint="eastAsia"/>
            </w:rPr>
            <w:t>更多功能</w:t>
          </w:r>
          <w:r>
            <w:rPr>
              <w:rStyle w:val="16"/>
            </w:rPr>
            <w:t>--</w:t>
          </w:r>
          <w:r>
            <w:rPr>
              <w:rStyle w:val="16"/>
              <w:rFonts w:hint="eastAsia"/>
            </w:rPr>
            <w:t>设置</w:t>
          </w:r>
          <w:r>
            <w:tab/>
          </w:r>
          <w:r>
            <w:fldChar w:fldCharType="begin"/>
          </w:r>
          <w:r>
            <w:instrText xml:space="preserve"> PAGEREF _Toc13854583 \h </w:instrText>
          </w:r>
          <w:r>
            <w:fldChar w:fldCharType="separate"/>
          </w:r>
          <w:r>
            <w:t>- 14 -</w:t>
          </w:r>
          <w:r>
            <w:fldChar w:fldCharType="end"/>
          </w:r>
          <w:r>
            <w:fldChar w:fldCharType="end"/>
          </w:r>
        </w:p>
        <w:p>
          <w:pPr>
            <w:pStyle w:val="8"/>
            <w:tabs>
              <w:tab w:val="right" w:leader="dot" w:pos="8296"/>
            </w:tabs>
            <w:spacing w:line="360" w:lineRule="auto"/>
            <w:ind w:left="960"/>
            <w:rPr>
              <w:rFonts w:asciiTheme="minorHAnsi" w:hAnsiTheme="minorHAnsi" w:eastAsiaTheme="minorEastAsia" w:cstheme="minorBidi"/>
              <w:kern w:val="2"/>
              <w:sz w:val="21"/>
              <w:szCs w:val="22"/>
            </w:rPr>
          </w:pPr>
          <w:r>
            <w:fldChar w:fldCharType="begin"/>
          </w:r>
          <w:r>
            <w:instrText xml:space="preserve"> HYPERLINK \l "_Toc13854584" </w:instrText>
          </w:r>
          <w:r>
            <w:fldChar w:fldCharType="separate"/>
          </w:r>
          <w:r>
            <w:rPr>
              <w:rStyle w:val="16"/>
            </w:rPr>
            <w:t xml:space="preserve">8.4 </w:t>
          </w:r>
          <w:r>
            <w:rPr>
              <w:rStyle w:val="16"/>
              <w:rFonts w:hint="eastAsia"/>
            </w:rPr>
            <w:t>更多功能</w:t>
          </w:r>
          <w:r>
            <w:rPr>
              <w:rStyle w:val="16"/>
            </w:rPr>
            <w:t>--</w:t>
          </w:r>
          <w:r>
            <w:rPr>
              <w:rStyle w:val="16"/>
              <w:rFonts w:hint="eastAsia"/>
            </w:rPr>
            <w:t>身份证号授权</w:t>
          </w:r>
          <w:r>
            <w:tab/>
          </w:r>
          <w:r>
            <w:fldChar w:fldCharType="begin"/>
          </w:r>
          <w:r>
            <w:instrText xml:space="preserve"> PAGEREF _Toc13854584 \h </w:instrText>
          </w:r>
          <w:r>
            <w:fldChar w:fldCharType="separate"/>
          </w:r>
          <w:r>
            <w:t>- 15 -</w:t>
          </w:r>
          <w:r>
            <w:fldChar w:fldCharType="end"/>
          </w:r>
          <w:r>
            <w:fldChar w:fldCharType="end"/>
          </w:r>
        </w:p>
        <w:p>
          <w:pPr>
            <w:spacing w:line="360" w:lineRule="auto"/>
          </w:pPr>
          <w:r>
            <w:rPr>
              <w:b/>
              <w:bCs/>
              <w:sz w:val="28"/>
              <w:lang w:val="zh-CN"/>
            </w:rPr>
            <w:fldChar w:fldCharType="end"/>
          </w:r>
        </w:p>
      </w:sdtContent>
    </w:sdt>
    <w:p/>
    <w:p/>
    <w:p/>
    <w:p/>
    <w:p/>
    <w:p/>
    <w:p>
      <w:r>
        <w:br w:type="page"/>
      </w:r>
    </w:p>
    <w:p>
      <w:pPr>
        <w:pStyle w:val="3"/>
        <w:rPr>
          <w:rFonts w:ascii="宋体" w:hAnsi="宋体" w:eastAsia="宋体"/>
          <w:bCs/>
          <w:kern w:val="44"/>
          <w:szCs w:val="32"/>
        </w:rPr>
      </w:pPr>
      <w:bookmarkStart w:id="0" w:name="_Toc13854570"/>
      <w:r>
        <w:rPr>
          <w:rFonts w:hint="eastAsia"/>
        </w:rPr>
        <w:t>0.系统介绍</w:t>
      </w:r>
      <w:bookmarkEnd w:id="0"/>
    </w:p>
    <w:p>
      <w:pPr>
        <w:pStyle w:val="6"/>
        <w:adjustRightInd w:val="0"/>
        <w:snapToGrid w:val="0"/>
        <w:spacing w:line="360" w:lineRule="auto"/>
        <w:ind w:firstLine="562"/>
        <w:jc w:val="both"/>
        <w:rPr>
          <w:rFonts w:cs="宋体"/>
          <w:sz w:val="28"/>
          <w:szCs w:val="28"/>
        </w:rPr>
      </w:pPr>
      <w:r>
        <w:rPr>
          <w:rFonts w:hint="eastAsia" w:cs="宋体"/>
          <w:b/>
          <w:bCs/>
          <w:sz w:val="28"/>
          <w:szCs w:val="28"/>
        </w:rPr>
        <w:t>共享查询</w:t>
      </w:r>
      <w:r>
        <w:rPr>
          <w:rFonts w:hint="eastAsia" w:cs="宋体"/>
          <w:sz w:val="28"/>
          <w:szCs w:val="28"/>
        </w:rPr>
        <w:t>平台为各业务部门提供页面查询方式的数据资源共享。窗口业务人员在办理业务过程中，可使用自己在浙江政务服务网政府用户工作平台的用户名、所属单位及密码登录本平台查询所需的办事材料，查询结果可供校验、确认及证明办事群众的相关资料信息，也可作为办事材料下载存档。</w:t>
      </w:r>
    </w:p>
    <w:p>
      <w:pPr>
        <w:pStyle w:val="6"/>
        <w:adjustRightInd w:val="0"/>
        <w:snapToGrid w:val="0"/>
        <w:spacing w:line="360" w:lineRule="auto"/>
        <w:ind w:firstLine="0" w:firstLineChars="0"/>
        <w:jc w:val="both"/>
        <w:rPr>
          <w:rFonts w:cs="宋体"/>
          <w:b/>
          <w:bCs/>
          <w:sz w:val="28"/>
          <w:szCs w:val="28"/>
        </w:rPr>
      </w:pPr>
      <w:r>
        <w:rPr>
          <w:rFonts w:hint="eastAsia" w:cs="宋体"/>
          <w:b/>
          <w:bCs/>
          <w:sz w:val="28"/>
          <w:szCs w:val="28"/>
        </w:rPr>
        <w:t>注：</w:t>
      </w:r>
    </w:p>
    <w:p>
      <w:pPr>
        <w:pStyle w:val="6"/>
        <w:adjustRightInd w:val="0"/>
        <w:snapToGrid w:val="0"/>
        <w:spacing w:line="360" w:lineRule="auto"/>
        <w:ind w:firstLine="0" w:firstLineChars="0"/>
        <w:jc w:val="both"/>
        <w:rPr>
          <w:rFonts w:cs="宋体"/>
          <w:sz w:val="28"/>
          <w:szCs w:val="28"/>
        </w:rPr>
      </w:pPr>
      <w:r>
        <w:rPr>
          <w:rFonts w:cs="宋体"/>
          <w:sz w:val="28"/>
          <w:szCs w:val="28"/>
        </w:rPr>
        <w:t>①</w:t>
      </w:r>
      <w:r>
        <w:rPr>
          <w:rFonts w:hint="eastAsia" w:cs="宋体"/>
          <w:sz w:val="28"/>
          <w:szCs w:val="28"/>
        </w:rPr>
        <w:t>用户首次登陆一般没有资源权限，需要地区或者部门管理员在</w:t>
      </w:r>
      <w:r>
        <w:rPr>
          <w:rFonts w:hint="eastAsia" w:cs="宋体"/>
          <w:b/>
          <w:sz w:val="28"/>
          <w:szCs w:val="28"/>
        </w:rPr>
        <w:t>共享申请平台</w:t>
      </w:r>
      <w:r>
        <w:rPr>
          <w:rFonts w:hint="eastAsia" w:cs="宋体"/>
          <w:sz w:val="28"/>
          <w:szCs w:val="28"/>
        </w:rPr>
        <w:t>进行授权后才能查询相关资源。</w:t>
      </w:r>
    </w:p>
    <w:p>
      <w:pPr>
        <w:pStyle w:val="6"/>
        <w:adjustRightInd w:val="0"/>
        <w:snapToGrid w:val="0"/>
        <w:spacing w:line="360" w:lineRule="auto"/>
        <w:ind w:firstLine="0" w:firstLineChars="0"/>
        <w:rPr>
          <w:rFonts w:ascii="宋体" w:hAnsi="宋体"/>
          <w:snapToGrid w:val="0"/>
          <w:color w:val="000000"/>
          <w:kern w:val="28"/>
        </w:rPr>
      </w:pPr>
      <w:r>
        <w:rPr>
          <w:rFonts w:cs="宋体"/>
          <w:sz w:val="28"/>
          <w:szCs w:val="28"/>
        </w:rPr>
        <w:t>②</w:t>
      </w:r>
      <w:r>
        <w:rPr>
          <w:rFonts w:hint="eastAsia" w:cs="宋体"/>
          <w:sz w:val="28"/>
          <w:szCs w:val="28"/>
        </w:rPr>
        <w:t>在政府工作平台政府用户认证中心中还没有添加组织，或者有组织没有部门管理员账号的单位，请联系当地地区管理员添加（杭州市本级及13个区县都有单独的地区管理员，各区县市的地区管理员名单在政府用户工作平台登录界面https://guser.zjzwfw.gov.cn/sso/index.do可以下载）。部门管理员忘记密码可以通过绑定的手机号码找回。</w:t>
      </w:r>
    </w:p>
    <w:p>
      <w:pPr>
        <w:pStyle w:val="3"/>
      </w:pPr>
      <w:bookmarkStart w:id="1" w:name="_Toc13854571"/>
      <w:r>
        <w:rPr>
          <w:rFonts w:hint="eastAsia"/>
        </w:rPr>
        <w:t>1.登录系统</w:t>
      </w:r>
      <w:bookmarkEnd w:id="1"/>
    </w:p>
    <w:p>
      <w:pPr>
        <w:ind w:firstLine="420"/>
        <w:jc w:val="both"/>
        <w:rPr>
          <w:rFonts w:cs="宋体"/>
          <w:sz w:val="28"/>
          <w:szCs w:val="28"/>
        </w:rPr>
      </w:pPr>
      <w:r>
        <w:rPr>
          <w:rFonts w:hint="eastAsia" w:cs="宋体"/>
          <w:sz w:val="28"/>
          <w:szCs w:val="28"/>
        </w:rPr>
        <w:t>浏览器地址栏输入网址新版登录地址：</w:t>
      </w:r>
      <w:r>
        <w:fldChar w:fldCharType="begin"/>
      </w:r>
      <w:r>
        <w:instrText xml:space="preserve"> HYPERLINK "http://172.18.105.135:38080/datasharelib/，即可进入" </w:instrText>
      </w:r>
      <w:r>
        <w:fldChar w:fldCharType="separate"/>
      </w:r>
      <w:r>
        <w:rPr>
          <w:rFonts w:hint="eastAsia" w:cs="宋体"/>
          <w:sz w:val="28"/>
          <w:szCs w:val="28"/>
        </w:rPr>
        <w:t>http://172.18.105.135:38080/datasharelib/，即可进入“杭州市公共数据工作平台”。</w:t>
      </w:r>
      <w:r>
        <w:rPr>
          <w:rFonts w:hint="eastAsia" w:cs="宋体"/>
          <w:sz w:val="28"/>
          <w:szCs w:val="28"/>
        </w:rPr>
        <w:fldChar w:fldCharType="end"/>
      </w:r>
    </w:p>
    <w:p>
      <w:pPr>
        <w:ind w:firstLine="420"/>
        <w:rPr>
          <w:rFonts w:cs="宋体"/>
          <w:sz w:val="28"/>
          <w:szCs w:val="28"/>
        </w:rPr>
      </w:pPr>
      <w:r>
        <w:rPr>
          <w:rFonts w:hint="eastAsia" w:cs="宋体"/>
          <w:b/>
          <w:bCs/>
          <w:sz w:val="28"/>
          <w:szCs w:val="28"/>
        </w:rPr>
        <w:t>浏览器配置</w:t>
      </w:r>
      <w:r>
        <w:rPr>
          <w:rFonts w:hint="eastAsia" w:cs="宋体"/>
          <w:sz w:val="28"/>
          <w:szCs w:val="28"/>
        </w:rPr>
        <w:t>：建议IE11以上，如果是XP系统，则建议使用兼容性视图（只有IE8），如果不使用读卡器和高拍仪，则推荐使用谷歌或火狐浏览器。</w:t>
      </w:r>
    </w:p>
    <w:p>
      <w:pPr>
        <w:ind w:firstLine="420"/>
        <w:rPr>
          <w:rFonts w:cs="宋体"/>
          <w:sz w:val="28"/>
          <w:szCs w:val="28"/>
        </w:rPr>
      </w:pPr>
      <w:r>
        <mc:AlternateContent>
          <mc:Choice Requires="wps">
            <w:drawing>
              <wp:anchor distT="0" distB="0" distL="114300" distR="114300" simplePos="0" relativeHeight="251658240" behindDoc="0" locked="0" layoutInCell="1" allowOverlap="1">
                <wp:simplePos x="0" y="0"/>
                <wp:positionH relativeFrom="column">
                  <wp:posOffset>2272665</wp:posOffset>
                </wp:positionH>
                <wp:positionV relativeFrom="paragraph">
                  <wp:posOffset>698500</wp:posOffset>
                </wp:positionV>
                <wp:extent cx="589280" cy="408940"/>
                <wp:effectExtent l="6350" t="6350" r="13970" b="22860"/>
                <wp:wrapNone/>
                <wp:docPr id="5" name="矩形 5"/>
                <wp:cNvGraphicFramePr/>
                <a:graphic xmlns:a="http://schemas.openxmlformats.org/drawingml/2006/main">
                  <a:graphicData uri="http://schemas.microsoft.com/office/word/2010/wordprocessingShape">
                    <wps:wsp>
                      <wps:cNvSpPr/>
                      <wps:spPr>
                        <a:xfrm>
                          <a:off x="3415665" y="1612900"/>
                          <a:ext cx="589280" cy="4089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95pt;margin-top:55pt;height:32.2pt;width:46.4pt;z-index:251658240;v-text-anchor:middle;mso-width-relative:page;mso-height-relative:page;" filled="f" stroked="t" coordsize="21600,21600" o:gfxdata="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vdOB&#10;1wAAAAsBAAAPAAAAAAAAAAEAIAAAACIAAABkcnMvZG93bnJldi54bWxQSwECFAAUAAAACACHTuJA&#10;gWMJ01sCAACIBAAADgAAAAAAAAABACAAAAAmAQAAZHJzL2Uyb0RvYy54bWxQSwUGAAAAAAYABgBZ&#10;AQAA8wUAAAAA&#10;">
                <v:fill on="f" focussize="0,0"/>
                <v:stroke weight="1pt" color="#FF0000 [3209]" miterlimit="8" joinstyle="miter"/>
                <v:imagedata o:title=""/>
                <o:lock v:ext="edit" aspectratio="f"/>
              </v:rect>
            </w:pict>
          </mc:Fallback>
        </mc:AlternateContent>
      </w:r>
      <w:r>
        <w:drawing>
          <wp:inline distT="0" distB="0" distL="114300" distR="114300">
            <wp:extent cx="5266690" cy="2767965"/>
            <wp:effectExtent l="0" t="0" r="1016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76796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图1-1 “首页”界面</w:t>
      </w:r>
    </w:p>
    <w:p>
      <w:pPr>
        <w:jc w:val="center"/>
      </w:pPr>
    </w:p>
    <w:p>
      <w:pPr>
        <w:jc w:val="both"/>
        <w:rPr>
          <w:rFonts w:cs="宋体"/>
          <w:b/>
          <w:sz w:val="28"/>
          <w:szCs w:val="28"/>
        </w:rPr>
      </w:pPr>
      <w:r>
        <w:rPr>
          <w:rFonts w:ascii="Calibri" w:hAnsi="Calibri" w:cs="Calibri"/>
          <w:sz w:val="28"/>
          <w:szCs w:val="28"/>
        </w:rPr>
        <w:t>①</w:t>
      </w:r>
      <w:r>
        <w:rPr>
          <w:rFonts w:hint="eastAsia" w:cs="宋体"/>
          <w:sz w:val="28"/>
          <w:szCs w:val="28"/>
        </w:rPr>
        <w:t>“共享查询（新）”</w:t>
      </w:r>
      <w:r>
        <w:rPr>
          <w:rFonts w:hint="eastAsia" w:cs="宋体"/>
          <w:b/>
          <w:sz w:val="28"/>
          <w:szCs w:val="28"/>
        </w:rPr>
        <w:t>登录界面</w:t>
      </w:r>
    </w:p>
    <w:p>
      <w:pPr>
        <w:ind w:firstLine="420"/>
        <w:rPr>
          <w:rFonts w:cs="宋体"/>
          <w:sz w:val="28"/>
          <w:szCs w:val="28"/>
        </w:rPr>
      </w:pPr>
      <w:r>
        <w:rPr>
          <w:rFonts w:hint="eastAsia" w:cs="宋体"/>
          <w:sz w:val="28"/>
          <w:szCs w:val="28"/>
        </w:rPr>
        <w:t>点击【</w:t>
      </w:r>
      <w:r>
        <w:rPr>
          <w:rFonts w:hint="eastAsia" w:cs="宋体"/>
          <w:b/>
          <w:bCs/>
          <w:sz w:val="28"/>
          <w:szCs w:val="28"/>
        </w:rPr>
        <w:t>共享查询（新）】</w:t>
      </w:r>
      <w:r>
        <w:rPr>
          <w:rFonts w:hint="eastAsia" w:cs="宋体"/>
          <w:sz w:val="28"/>
          <w:szCs w:val="28"/>
        </w:rPr>
        <w:t>即可进入杭州市公共数据共享查询平台，如图3-1所示，通过该平台实现页面查询方式为各部门提供数据共享。</w:t>
      </w:r>
    </w:p>
    <w:p>
      <w:pPr>
        <w:jc w:val="both"/>
      </w:pPr>
      <w:r>
        <w:drawing>
          <wp:inline distT="0" distB="0" distL="114300" distR="114300">
            <wp:extent cx="5272405" cy="2625090"/>
            <wp:effectExtent l="0" t="0" r="444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72405" cy="262509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图1-2 查询平台登录界面</w:t>
      </w:r>
    </w:p>
    <w:p>
      <w:pPr>
        <w:ind w:firstLine="420"/>
        <w:jc w:val="both"/>
        <w:rPr>
          <w:rFonts w:hint="eastAsia" w:cs="宋体"/>
          <w:sz w:val="28"/>
          <w:szCs w:val="28"/>
        </w:rPr>
      </w:pPr>
      <w:r>
        <w:rPr>
          <w:rFonts w:hint="eastAsia" w:cs="宋体"/>
          <w:sz w:val="28"/>
          <w:szCs w:val="28"/>
        </w:rPr>
        <w:t>用户登录时填写的用户名、所属单位、密码与浙江政务服务网政府用户工作平台的用户名、单位、密码是相同的。</w:t>
      </w:r>
    </w:p>
    <w:p>
      <w:pPr>
        <w:ind w:firstLine="420"/>
        <w:jc w:val="both"/>
        <w:rPr>
          <w:rFonts w:cs="宋体"/>
          <w:sz w:val="28"/>
          <w:szCs w:val="28"/>
        </w:rPr>
      </w:pPr>
    </w:p>
    <w:p>
      <w:pPr>
        <w:jc w:val="both"/>
      </w:pPr>
      <w:r>
        <w:drawing>
          <wp:inline distT="0" distB="0" distL="114300" distR="114300">
            <wp:extent cx="5272405" cy="247015"/>
            <wp:effectExtent l="0" t="0" r="444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72405" cy="24701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图1-3 查询的七个模块</w:t>
      </w:r>
    </w:p>
    <w:p>
      <w:pPr>
        <w:ind w:firstLine="420"/>
        <w:jc w:val="both"/>
      </w:pPr>
      <w:r>
        <w:rPr>
          <w:rFonts w:hint="eastAsia" w:cs="宋体"/>
          <w:sz w:val="28"/>
          <w:szCs w:val="28"/>
        </w:rPr>
        <w:t>查询平台包含七个模块：材料查询、资源、读卡器测试、材料核查、查询记录、查询统计、更多功能。下面对七个模块一一进行详细的介绍。</w:t>
      </w:r>
    </w:p>
    <w:p>
      <w:pPr>
        <w:pStyle w:val="3"/>
        <w:numPr>
          <w:ilvl w:val="0"/>
          <w:numId w:val="2"/>
        </w:numPr>
      </w:pPr>
      <w:bookmarkStart w:id="2" w:name="_Toc13854572"/>
      <w:r>
        <w:rPr>
          <w:rFonts w:hint="eastAsia"/>
        </w:rPr>
        <w:t>材料查询</w:t>
      </w:r>
      <w:bookmarkEnd w:id="2"/>
    </w:p>
    <w:p>
      <w:pPr>
        <w:ind w:firstLine="420"/>
        <w:jc w:val="both"/>
        <w:rPr>
          <w:sz w:val="28"/>
          <w:szCs w:val="28"/>
        </w:rPr>
      </w:pPr>
      <w:r>
        <w:rPr>
          <w:rFonts w:hint="eastAsia" w:ascii="宋体" w:hAnsi="宋体"/>
          <w:snapToGrid w:val="0"/>
          <w:color w:val="000000"/>
          <w:kern w:val="28"/>
          <w:sz w:val="28"/>
          <w:szCs w:val="28"/>
        </w:rPr>
        <w:t>首页界面如图2-1所示</w:t>
      </w:r>
    </w:p>
    <w:p>
      <w:pPr>
        <w:jc w:val="both"/>
      </w:pPr>
      <w:r>
        <w:drawing>
          <wp:inline distT="0" distB="0" distL="114300" distR="114300">
            <wp:extent cx="5266690" cy="2767965"/>
            <wp:effectExtent l="0" t="0" r="1016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6690" cy="276796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图2-1 查询平台界面</w:t>
      </w:r>
    </w:p>
    <w:p>
      <w:pPr>
        <w:ind w:firstLine="420"/>
        <w:jc w:val="both"/>
        <w:rPr>
          <w:rFonts w:ascii="宋体" w:hAnsi="宋体"/>
          <w:snapToGrid w:val="0"/>
          <w:color w:val="000000"/>
          <w:kern w:val="28"/>
          <w:sz w:val="28"/>
          <w:szCs w:val="28"/>
        </w:rPr>
      </w:pPr>
      <w:r>
        <w:rPr>
          <w:rFonts w:hint="eastAsia" w:ascii="宋体" w:hAnsi="宋体"/>
          <w:snapToGrid w:val="0"/>
          <w:color w:val="000000"/>
          <w:kern w:val="28"/>
          <w:sz w:val="28"/>
          <w:szCs w:val="28"/>
        </w:rPr>
        <w:t>材料查询分为</w:t>
      </w:r>
      <w:r>
        <w:rPr>
          <w:rFonts w:hint="eastAsia" w:ascii="宋体" w:hAnsi="宋体"/>
          <w:b/>
          <w:bCs/>
          <w:snapToGrid w:val="0"/>
          <w:color w:val="000000"/>
          <w:kern w:val="28"/>
          <w:sz w:val="28"/>
          <w:szCs w:val="28"/>
        </w:rPr>
        <w:t>按材料</w:t>
      </w:r>
      <w:r>
        <w:rPr>
          <w:rFonts w:hint="eastAsia" w:ascii="宋体" w:hAnsi="宋体"/>
          <w:snapToGrid w:val="0"/>
          <w:color w:val="000000"/>
          <w:kern w:val="28"/>
          <w:sz w:val="28"/>
          <w:szCs w:val="28"/>
        </w:rPr>
        <w:t>和</w:t>
      </w:r>
      <w:r>
        <w:rPr>
          <w:rFonts w:hint="eastAsia" w:ascii="宋体" w:hAnsi="宋体"/>
          <w:b/>
          <w:bCs/>
          <w:snapToGrid w:val="0"/>
          <w:color w:val="000000"/>
          <w:kern w:val="28"/>
          <w:sz w:val="28"/>
          <w:szCs w:val="28"/>
        </w:rPr>
        <w:t>按事项</w:t>
      </w:r>
      <w:r>
        <w:rPr>
          <w:rFonts w:hint="eastAsia" w:ascii="宋体" w:hAnsi="宋体"/>
          <w:snapToGrid w:val="0"/>
          <w:color w:val="000000"/>
          <w:kern w:val="28"/>
          <w:sz w:val="28"/>
          <w:szCs w:val="28"/>
        </w:rPr>
        <w:t>两种查询方式。</w:t>
      </w:r>
    </w:p>
    <w:p>
      <w:pPr>
        <w:ind w:firstLine="420"/>
        <w:jc w:val="both"/>
        <w:rPr>
          <w:rFonts w:ascii="宋体" w:hAnsi="宋体"/>
          <w:snapToGrid w:val="0"/>
          <w:color w:val="000000"/>
          <w:kern w:val="28"/>
          <w:sz w:val="28"/>
          <w:szCs w:val="28"/>
        </w:rPr>
      </w:pPr>
      <w:r>
        <w:rPr>
          <w:rFonts w:hint="eastAsia" w:ascii="宋体" w:hAnsi="宋体"/>
          <w:b/>
          <w:bCs/>
          <w:snapToGrid w:val="0"/>
          <w:color w:val="000000"/>
          <w:kern w:val="28"/>
          <w:sz w:val="28"/>
          <w:szCs w:val="28"/>
        </w:rPr>
        <w:t>按材料</w:t>
      </w:r>
      <w:r>
        <w:rPr>
          <w:rFonts w:hint="eastAsia" w:ascii="宋体" w:hAnsi="宋体"/>
          <w:snapToGrid w:val="0"/>
          <w:color w:val="000000"/>
          <w:kern w:val="28"/>
          <w:sz w:val="28"/>
          <w:szCs w:val="28"/>
        </w:rPr>
        <w:t>查询：主要用来查询单项材料，即一次查询一项材料；</w:t>
      </w:r>
    </w:p>
    <w:p>
      <w:pPr>
        <w:ind w:firstLine="420"/>
        <w:jc w:val="both"/>
        <w:rPr>
          <w:sz w:val="28"/>
          <w:szCs w:val="28"/>
        </w:rPr>
      </w:pPr>
      <w:r>
        <w:rPr>
          <w:rFonts w:hint="eastAsia" w:ascii="宋体" w:hAnsi="宋体"/>
          <w:b/>
          <w:bCs/>
          <w:snapToGrid w:val="0"/>
          <w:color w:val="000000"/>
          <w:kern w:val="28"/>
          <w:sz w:val="28"/>
          <w:szCs w:val="28"/>
        </w:rPr>
        <w:t>按事项</w:t>
      </w:r>
      <w:r>
        <w:rPr>
          <w:rFonts w:hint="eastAsia" w:ascii="宋体" w:hAnsi="宋体"/>
          <w:snapToGrid w:val="0"/>
          <w:color w:val="000000"/>
          <w:kern w:val="28"/>
          <w:sz w:val="28"/>
          <w:szCs w:val="28"/>
        </w:rPr>
        <w:t>查询：平台管理员可将多项材料捆绑一起（比如某个事项所需所有材料），即输入查询信息可一次查询获取多项材料信息。</w:t>
      </w:r>
    </w:p>
    <w:p>
      <w:pPr>
        <w:ind w:firstLine="420"/>
        <w:jc w:val="both"/>
        <w:rPr>
          <w:rFonts w:ascii="宋体" w:hAnsi="宋体"/>
          <w:snapToGrid w:val="0"/>
          <w:color w:val="000000"/>
          <w:kern w:val="28"/>
          <w:sz w:val="28"/>
          <w:szCs w:val="28"/>
        </w:rPr>
      </w:pPr>
      <w:r>
        <w:rPr>
          <w:rFonts w:hint="eastAsia" w:ascii="宋体" w:hAnsi="宋体"/>
          <w:snapToGrid w:val="0"/>
          <w:color w:val="000000"/>
          <w:kern w:val="28"/>
          <w:sz w:val="28"/>
          <w:szCs w:val="28"/>
        </w:rPr>
        <w:t>注：用户首次登陆一般没有查询资源，需要部门管理员或区县地区管理员在共享申请平台进行授权。</w:t>
      </w:r>
    </w:p>
    <w:p>
      <w:pPr>
        <w:pStyle w:val="4"/>
        <w:numPr>
          <w:ilvl w:val="2"/>
          <w:numId w:val="0"/>
        </w:numPr>
        <w:ind w:left="142"/>
      </w:pPr>
      <w:bookmarkStart w:id="3" w:name="_Toc13854573"/>
      <w:r>
        <w:rPr>
          <w:rFonts w:hint="eastAsia"/>
        </w:rPr>
        <w:t>2.1 按材料查询（单个材料）</w:t>
      </w:r>
      <w:bookmarkEnd w:id="3"/>
    </w:p>
    <w:p>
      <w:pPr>
        <w:jc w:val="both"/>
        <w:rPr>
          <w:rFonts w:ascii="宋体" w:hAnsi="宋体"/>
          <w:snapToGrid w:val="0"/>
          <w:color w:val="000000"/>
          <w:kern w:val="28"/>
          <w:sz w:val="28"/>
          <w:szCs w:val="28"/>
        </w:rPr>
      </w:pPr>
      <w:r>
        <w:rPr>
          <w:rFonts w:ascii="Calibri" w:hAnsi="Calibri" w:cs="Calibri"/>
          <w:b/>
          <w:bCs/>
          <w:snapToGrid w:val="0"/>
          <w:color w:val="000000"/>
          <w:kern w:val="28"/>
        </w:rPr>
        <w:t>①</w:t>
      </w:r>
      <w:r>
        <w:rPr>
          <w:rFonts w:hint="eastAsia" w:ascii="宋体" w:hAnsi="宋体"/>
          <w:b/>
          <w:bCs/>
          <w:snapToGrid w:val="0"/>
          <w:color w:val="000000"/>
          <w:kern w:val="28"/>
          <w:sz w:val="28"/>
          <w:szCs w:val="28"/>
        </w:rPr>
        <w:t>全部业务：</w:t>
      </w:r>
      <w:r>
        <w:rPr>
          <w:rFonts w:hint="eastAsia" w:ascii="宋体" w:hAnsi="宋体"/>
          <w:snapToGrid w:val="0"/>
          <w:color w:val="000000"/>
          <w:kern w:val="28"/>
          <w:sz w:val="28"/>
          <w:szCs w:val="28"/>
        </w:rPr>
        <w:t>包括个人业务和法人业务，如：社保参保证明、个人学历信息、企业基本信息、组织机构代码信息查询等。具体界面展示如图2-1所示。</w:t>
      </w:r>
    </w:p>
    <w:p>
      <w:pPr>
        <w:jc w:val="both"/>
        <w:rPr>
          <w:rFonts w:ascii="宋体" w:hAnsi="宋体"/>
          <w:snapToGrid w:val="0"/>
          <w:color w:val="000000"/>
          <w:kern w:val="28"/>
          <w:sz w:val="28"/>
          <w:szCs w:val="28"/>
        </w:rPr>
      </w:pPr>
      <w:r>
        <w:rPr>
          <w:rFonts w:ascii="Calibri" w:hAnsi="Calibri" w:cs="Calibri"/>
          <w:b/>
          <w:bCs/>
          <w:snapToGrid w:val="0"/>
          <w:color w:val="000000"/>
          <w:kern w:val="28"/>
          <w:sz w:val="28"/>
          <w:szCs w:val="28"/>
        </w:rPr>
        <w:t>②</w:t>
      </w:r>
      <w:r>
        <w:rPr>
          <w:rFonts w:hint="eastAsia" w:ascii="宋体" w:hAnsi="宋体"/>
          <w:b/>
          <w:bCs/>
          <w:snapToGrid w:val="0"/>
          <w:color w:val="000000"/>
          <w:kern w:val="28"/>
          <w:sz w:val="28"/>
          <w:szCs w:val="28"/>
        </w:rPr>
        <w:t>个人业务：</w:t>
      </w:r>
      <w:r>
        <w:rPr>
          <w:rFonts w:hint="eastAsia" w:ascii="宋体" w:hAnsi="宋体"/>
          <w:snapToGrid w:val="0"/>
          <w:color w:val="000000"/>
          <w:kern w:val="28"/>
          <w:sz w:val="28"/>
          <w:szCs w:val="28"/>
        </w:rPr>
        <w:t>是指普通办事老百姓可通过自己的身份证查询自身的相关信息，如：社保参保证明信息、婚姻登记、居住信息等。具体页面展示如图2-2所示。</w:t>
      </w:r>
    </w:p>
    <w:p>
      <w:pPr>
        <w:jc w:val="both"/>
      </w:pPr>
      <w:r>
        <w:drawing>
          <wp:inline distT="0" distB="0" distL="114300" distR="114300">
            <wp:extent cx="5270500" cy="274193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0500" cy="274193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图2-2 “个人业务”界面</w:t>
      </w:r>
    </w:p>
    <w:p>
      <w:pPr>
        <w:ind w:firstLine="420"/>
        <w:jc w:val="both"/>
        <w:rPr>
          <w:rFonts w:ascii="宋体" w:hAnsi="宋体"/>
          <w:snapToGrid w:val="0"/>
          <w:color w:val="000000"/>
          <w:kern w:val="28"/>
          <w:sz w:val="28"/>
          <w:szCs w:val="28"/>
        </w:rPr>
      </w:pPr>
      <w:r>
        <w:rPr>
          <w:rFonts w:hint="eastAsia" w:ascii="宋体" w:hAnsi="宋体"/>
          <w:snapToGrid w:val="0"/>
          <w:color w:val="000000"/>
          <w:kern w:val="28"/>
          <w:sz w:val="28"/>
          <w:szCs w:val="28"/>
        </w:rPr>
        <w:t>系统提供四种查询方式：</w:t>
      </w:r>
    </w:p>
    <w:p>
      <w:pPr>
        <w:pStyle w:val="13"/>
        <w:shd w:val="clear" w:color="auto" w:fill="FFFFFF"/>
        <w:spacing w:beforeAutospacing="0" w:afterAutospacing="0" w:line="450" w:lineRule="atLeast"/>
        <w:ind w:firstLine="422" w:firstLineChars="151"/>
        <w:rPr>
          <w:rFonts w:hint="eastAsia" w:ascii="宋体" w:hAnsi="宋体"/>
          <w:snapToGrid w:val="0"/>
          <w:color w:val="000000"/>
          <w:kern w:val="28"/>
          <w:sz w:val="28"/>
          <w:szCs w:val="28"/>
        </w:rPr>
      </w:pPr>
      <w:r>
        <w:rPr>
          <w:rFonts w:hint="eastAsia" w:ascii="宋体" w:hAnsi="宋体"/>
          <w:snapToGrid w:val="0"/>
          <w:color w:val="000000"/>
          <w:kern w:val="28"/>
          <w:sz w:val="28"/>
          <w:szCs w:val="28"/>
        </w:rPr>
        <w:t>1）直接手动输入姓名、身份证等查询条件，按“查询”按钮。</w:t>
      </w:r>
    </w:p>
    <w:p>
      <w:pPr>
        <w:pStyle w:val="13"/>
        <w:shd w:val="clear" w:color="auto" w:fill="FFFFFF"/>
        <w:spacing w:beforeAutospacing="0" w:afterAutospacing="0" w:line="450" w:lineRule="atLeast"/>
        <w:ind w:firstLine="422" w:firstLineChars="151"/>
        <w:rPr>
          <w:rFonts w:ascii="宋体" w:hAnsi="宋体"/>
          <w:snapToGrid w:val="0"/>
          <w:color w:val="000000"/>
          <w:kern w:val="28"/>
          <w:sz w:val="28"/>
          <w:szCs w:val="28"/>
        </w:rPr>
      </w:pPr>
      <w:r>
        <w:rPr>
          <w:rFonts w:hint="eastAsia" w:ascii="宋体" w:hAnsi="宋体"/>
          <w:snapToGrid w:val="0"/>
          <w:color w:val="000000"/>
          <w:kern w:val="28"/>
          <w:sz w:val="28"/>
          <w:szCs w:val="28"/>
        </w:rPr>
        <w:t>2）“读卡”按钮读取身份证直接查询。如果尚未安装身份证读卡器，请至“读卡器测试”菜单中完成安装测试。</w:t>
      </w:r>
    </w:p>
    <w:p>
      <w:pPr>
        <w:pStyle w:val="13"/>
        <w:shd w:val="clear" w:color="auto" w:fill="FFFFFF"/>
        <w:spacing w:beforeAutospacing="0" w:afterAutospacing="0" w:line="450" w:lineRule="atLeast"/>
        <w:ind w:firstLine="422" w:firstLineChars="151"/>
        <w:rPr>
          <w:rFonts w:ascii="宋体" w:hAnsi="宋体"/>
          <w:snapToGrid w:val="0"/>
          <w:color w:val="000000"/>
          <w:kern w:val="28"/>
          <w:sz w:val="28"/>
          <w:szCs w:val="28"/>
        </w:rPr>
      </w:pPr>
      <w:r>
        <w:rPr>
          <w:rFonts w:hint="eastAsia" w:ascii="宋体" w:hAnsi="宋体"/>
          <w:snapToGrid w:val="0"/>
          <w:color w:val="000000"/>
          <w:kern w:val="28"/>
          <w:sz w:val="28"/>
          <w:szCs w:val="28"/>
        </w:rPr>
        <w:t>3）可信身份认证查询。需通过摄像头拍摄申请人的头像进行实人身份认证，需先确认摄像头正常工作。</w:t>
      </w:r>
    </w:p>
    <w:p>
      <w:pPr>
        <w:ind w:firstLine="422" w:firstLineChars="151"/>
        <w:jc w:val="both"/>
        <w:rPr>
          <w:rFonts w:hint="eastAsia" w:ascii="宋体" w:hAnsi="宋体"/>
          <w:sz w:val="28"/>
          <w:szCs w:val="28"/>
        </w:rPr>
      </w:pPr>
      <w:r>
        <w:rPr>
          <w:rFonts w:hint="eastAsia" w:ascii="宋体" w:hAnsi="宋体"/>
          <w:snapToGrid w:val="0"/>
          <w:color w:val="000000"/>
          <w:kern w:val="28"/>
          <w:sz w:val="28"/>
          <w:szCs w:val="28"/>
        </w:rPr>
        <w:t>4）授权查询。当以上几种方式不可用时，请联系主管，进入“更多功能”-&gt;“身份证号授权”中录入授权的身份证信息。（主管需要有此菜单权限）</w:t>
      </w:r>
    </w:p>
    <w:p>
      <w:pPr>
        <w:ind w:firstLine="420"/>
        <w:jc w:val="both"/>
        <w:rPr>
          <w:rFonts w:ascii="宋体" w:hAnsi="宋体"/>
          <w:sz w:val="28"/>
          <w:szCs w:val="28"/>
        </w:rPr>
      </w:pPr>
      <w:r>
        <w:rPr>
          <w:rFonts w:hint="eastAsia" w:ascii="宋体" w:hAnsi="宋体"/>
          <w:sz w:val="28"/>
          <w:szCs w:val="28"/>
        </w:rPr>
        <w:t>查询成功后，可将查询结果用作查询验证，亦可作为办事材料下载存档，点击下载按钮，即可生成PDF文件下载到本地存档。（部分材料在查询无数据的情况下，可以下载无数据的证明文件）</w:t>
      </w:r>
    </w:p>
    <w:p>
      <w:pPr>
        <w:jc w:val="both"/>
        <w:rPr>
          <w:rFonts w:ascii="宋体" w:hAnsi="宋体"/>
        </w:rPr>
      </w:pPr>
      <w:r>
        <w:drawing>
          <wp:inline distT="0" distB="0" distL="114300" distR="114300">
            <wp:extent cx="5261610" cy="2611755"/>
            <wp:effectExtent l="0" t="0" r="152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61610" cy="261175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图2-3 查询结果页面</w:t>
      </w:r>
    </w:p>
    <w:p>
      <w:pPr>
        <w:jc w:val="both"/>
        <w:rPr>
          <w:rFonts w:ascii="宋体" w:hAnsi="宋体"/>
          <w:snapToGrid w:val="0"/>
          <w:color w:val="000000"/>
          <w:kern w:val="28"/>
          <w:sz w:val="28"/>
          <w:szCs w:val="28"/>
        </w:rPr>
      </w:pPr>
      <w:r>
        <w:rPr>
          <w:rFonts w:ascii="Calibri" w:hAnsi="Calibri" w:cs="Calibri"/>
        </w:rPr>
        <w:t>③</w:t>
      </w:r>
      <w:r>
        <w:rPr>
          <w:rFonts w:hint="eastAsia" w:ascii="宋体" w:hAnsi="宋体"/>
          <w:b/>
          <w:bCs/>
          <w:snapToGrid w:val="0"/>
          <w:color w:val="000000"/>
          <w:kern w:val="28"/>
          <w:sz w:val="28"/>
          <w:szCs w:val="28"/>
        </w:rPr>
        <w:t>法人业务：</w:t>
      </w:r>
      <w:r>
        <w:rPr>
          <w:rFonts w:hint="eastAsia" w:ascii="宋体" w:hAnsi="宋体"/>
          <w:snapToGrid w:val="0"/>
          <w:color w:val="000000"/>
          <w:kern w:val="28"/>
          <w:sz w:val="28"/>
          <w:szCs w:val="28"/>
        </w:rPr>
        <w:t>是指查询验证企业相关的信息，供企业法人办理相关事项。如：企业基本信息、企业社保缴纳情况、组织机构代码信息等。具体页面展示如图2-4所示</w:t>
      </w:r>
    </w:p>
    <w:p>
      <w:pPr>
        <w:jc w:val="both"/>
      </w:pPr>
      <w:r>
        <w:drawing>
          <wp:inline distT="0" distB="0" distL="114300" distR="114300">
            <wp:extent cx="5266690" cy="2232660"/>
            <wp:effectExtent l="0" t="0" r="1016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6690" cy="223266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图2-4 “法人业务”界面</w:t>
      </w:r>
    </w:p>
    <w:p>
      <w:pPr>
        <w:jc w:val="center"/>
      </w:pPr>
    </w:p>
    <w:p>
      <w:pPr>
        <w:pStyle w:val="4"/>
        <w:numPr>
          <w:ilvl w:val="2"/>
          <w:numId w:val="0"/>
        </w:numPr>
        <w:ind w:left="142"/>
        <w:rPr>
          <w:sz w:val="32"/>
          <w:szCs w:val="28"/>
        </w:rPr>
      </w:pPr>
      <w:bookmarkStart w:id="4" w:name="_Toc13854574"/>
      <w:r>
        <w:rPr>
          <w:rFonts w:hint="eastAsia"/>
        </w:rPr>
        <w:t>2.</w:t>
      </w:r>
      <w:r>
        <w:rPr>
          <w:rFonts w:hint="eastAsia"/>
          <w:sz w:val="32"/>
          <w:szCs w:val="28"/>
        </w:rPr>
        <w:t>2 按事项查询（多个材料）</w:t>
      </w:r>
      <w:bookmarkEnd w:id="4"/>
    </w:p>
    <w:p>
      <w:pPr>
        <w:ind w:firstLine="420"/>
        <w:jc w:val="both"/>
        <w:rPr>
          <w:rFonts w:ascii="宋体" w:hAnsi="宋体"/>
          <w:snapToGrid w:val="0"/>
          <w:color w:val="000000"/>
          <w:kern w:val="28"/>
          <w:sz w:val="28"/>
          <w:szCs w:val="28"/>
        </w:rPr>
      </w:pPr>
      <w:r>
        <w:rPr>
          <w:rFonts w:hint="eastAsia"/>
          <w:sz w:val="28"/>
          <w:szCs w:val="28"/>
        </w:rPr>
        <w:t>将多项材料进行打包，平台用户只需输入一次查询条件即可同时查询多项材料。</w:t>
      </w:r>
    </w:p>
    <w:p>
      <w:pPr>
        <w:jc w:val="both"/>
      </w:pPr>
      <w:r>
        <w:drawing>
          <wp:inline distT="0" distB="0" distL="114300" distR="114300">
            <wp:extent cx="5271770" cy="2755265"/>
            <wp:effectExtent l="0" t="0" r="508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1770" cy="275526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图2-5 “按事项”页面</w:t>
      </w:r>
    </w:p>
    <w:p>
      <w:pPr>
        <w:ind w:firstLine="420"/>
        <w:jc w:val="both"/>
        <w:rPr>
          <w:sz w:val="28"/>
          <w:szCs w:val="28"/>
        </w:rPr>
      </w:pPr>
      <w:r>
        <w:rPr>
          <w:rFonts w:hint="eastAsia"/>
          <w:sz w:val="28"/>
          <w:szCs w:val="28"/>
        </w:rPr>
        <w:t>平台用户可通过“新增事项”功能，将需要查询的多个材料打包在一个自定义的事项中。具体操作按钮如图2-6所示</w:t>
      </w:r>
    </w:p>
    <w:p>
      <w:pPr>
        <w:jc w:val="both"/>
      </w:pPr>
      <w:r>
        <w:drawing>
          <wp:inline distT="0" distB="0" distL="114300" distR="114300">
            <wp:extent cx="5264150" cy="2767965"/>
            <wp:effectExtent l="0" t="0" r="1270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4150" cy="276796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图2-6 “新增事项”页面</w:t>
      </w:r>
    </w:p>
    <w:p>
      <w:pPr>
        <w:jc w:val="center"/>
      </w:pPr>
    </w:p>
    <w:p>
      <w:pPr>
        <w:pStyle w:val="5"/>
      </w:pPr>
      <w:r>
        <w:rPr>
          <w:rFonts w:hint="eastAsia"/>
        </w:rPr>
        <w:t>2.2.1 自定义事项的设置</w:t>
      </w:r>
    </w:p>
    <w:p>
      <w:pPr>
        <w:ind w:firstLine="420"/>
        <w:jc w:val="both"/>
      </w:pPr>
      <w:r>
        <w:rPr>
          <w:rFonts w:hint="eastAsia"/>
          <w:sz w:val="28"/>
          <w:szCs w:val="28"/>
        </w:rPr>
        <w:t>在该功能中平台用户通过左下角的【新增事项】按钮，即可进入自定义事项的设置页面，设置事项的名称，选取要同时查询的材料（可多选），完成设置后即可达到一次查多项材料的效果。</w:t>
      </w:r>
    </w:p>
    <w:p>
      <w:pPr>
        <w:jc w:val="both"/>
      </w:pPr>
      <w:r>
        <w:drawing>
          <wp:inline distT="0" distB="0" distL="114300" distR="114300">
            <wp:extent cx="5272405" cy="2776220"/>
            <wp:effectExtent l="0" t="0" r="444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2405" cy="277622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图2-7 “新增事项”操作</w:t>
      </w:r>
    </w:p>
    <w:p>
      <w:pPr>
        <w:pStyle w:val="5"/>
      </w:pPr>
      <w:r>
        <w:rPr>
          <w:rFonts w:hint="eastAsia"/>
        </w:rPr>
        <w:t>2.2.2 按事项查询多个材料</w:t>
      </w:r>
    </w:p>
    <w:p>
      <w:pPr>
        <w:ind w:firstLine="480"/>
        <w:jc w:val="both"/>
        <w:rPr>
          <w:rFonts w:hint="eastAsia"/>
          <w:sz w:val="28"/>
          <w:szCs w:val="28"/>
        </w:rPr>
      </w:pPr>
      <w:r>
        <w:rPr>
          <w:rFonts w:hint="eastAsia"/>
          <w:sz w:val="28"/>
          <w:szCs w:val="28"/>
        </w:rPr>
        <w:t>选择事项名称</w:t>
      </w:r>
      <w:r>
        <w:rPr>
          <w:sz w:val="28"/>
          <w:szCs w:val="28"/>
        </w:rPr>
        <w:sym w:font="Wingdings" w:char="F0E0"/>
      </w:r>
      <w:r>
        <w:rPr>
          <w:rFonts w:hint="eastAsia"/>
          <w:sz w:val="28"/>
          <w:szCs w:val="28"/>
        </w:rPr>
        <w:t>输入身份证号码和姓名</w:t>
      </w:r>
      <w:r>
        <w:rPr>
          <w:sz w:val="28"/>
          <w:szCs w:val="28"/>
        </w:rPr>
        <w:sym w:font="Wingdings" w:char="F0E0"/>
      </w:r>
      <w:r>
        <w:rPr>
          <w:sz w:val="28"/>
          <w:szCs w:val="28"/>
        </w:rPr>
        <w:t>点击</w:t>
      </w:r>
      <w:r>
        <w:rPr>
          <w:rFonts w:hint="eastAsia"/>
          <w:sz w:val="28"/>
          <w:szCs w:val="28"/>
        </w:rPr>
        <w:t>【查询】即可。</w:t>
      </w:r>
    </w:p>
    <w:p>
      <w:pPr>
        <w:ind w:firstLine="480"/>
        <w:jc w:val="both"/>
        <w:rPr>
          <w:sz w:val="28"/>
          <w:szCs w:val="28"/>
        </w:rPr>
      </w:pPr>
      <w:r>
        <w:rPr>
          <w:rFonts w:hint="eastAsia"/>
          <w:sz w:val="28"/>
          <w:szCs w:val="28"/>
        </w:rPr>
        <w:t>输入的查询条件不一定是身份证号码和姓名，根据具体材料不同，系统会自动列出查询条件。</w:t>
      </w:r>
    </w:p>
    <w:p>
      <w:pPr>
        <w:jc w:val="both"/>
        <w:rPr>
          <w:sz w:val="28"/>
          <w:szCs w:val="28"/>
        </w:rPr>
      </w:pPr>
      <w:r>
        <w:rPr>
          <w:rFonts w:hint="eastAsia"/>
          <w:sz w:val="28"/>
          <w:szCs w:val="28"/>
        </w:rPr>
        <w:tab/>
      </w:r>
      <w:r>
        <w:rPr>
          <w:rFonts w:hint="eastAsia"/>
          <w:sz w:val="28"/>
          <w:szCs w:val="28"/>
        </w:rPr>
        <w:t>查询后，系统自动一次性将多个材料的查询结果同时返回，并且可以通过“下载全部”功能将多个材料的查询结果打包下载到本地电脑（存为压缩文件包）。</w:t>
      </w:r>
    </w:p>
    <w:p>
      <w:pPr>
        <w:jc w:val="both"/>
        <w:rPr>
          <w:rFonts w:hint="eastAsia"/>
        </w:rPr>
      </w:pPr>
      <w:r>
        <w:drawing>
          <wp:inline distT="0" distB="0" distL="114300" distR="114300">
            <wp:extent cx="5264785" cy="2643505"/>
            <wp:effectExtent l="0" t="0" r="1206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4785" cy="264350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图2-8 “按事项”查询页面</w:t>
      </w:r>
    </w:p>
    <w:p>
      <w:pPr>
        <w:pStyle w:val="3"/>
        <w:numPr>
          <w:ilvl w:val="0"/>
          <w:numId w:val="2"/>
        </w:numPr>
      </w:pPr>
      <w:bookmarkStart w:id="5" w:name="_Toc13854575"/>
      <w:r>
        <w:rPr>
          <w:rFonts w:hint="eastAsia"/>
        </w:rPr>
        <w:t>资源</w:t>
      </w:r>
      <w:bookmarkEnd w:id="5"/>
    </w:p>
    <w:p>
      <w:pPr>
        <w:ind w:firstLine="420"/>
        <w:rPr>
          <w:sz w:val="28"/>
          <w:szCs w:val="28"/>
        </w:rPr>
      </w:pPr>
      <w:r>
        <w:rPr>
          <w:rFonts w:hint="eastAsia"/>
          <w:sz w:val="28"/>
          <w:szCs w:val="28"/>
        </w:rPr>
        <w:t>该模块主要展示平台可供使用的查询资源情况，包括有使用权限、无使用权限的查询资源。</w:t>
      </w:r>
    </w:p>
    <w:p>
      <w:r>
        <w:drawing>
          <wp:inline distT="0" distB="0" distL="114300" distR="114300">
            <wp:extent cx="5263515" cy="1772920"/>
            <wp:effectExtent l="0" t="0" r="1333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63515" cy="177292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图3-1 资源界面</w:t>
      </w:r>
    </w:p>
    <w:p>
      <w:pPr>
        <w:pStyle w:val="3"/>
        <w:numPr>
          <w:ilvl w:val="0"/>
          <w:numId w:val="2"/>
        </w:numPr>
      </w:pPr>
      <w:bookmarkStart w:id="6" w:name="_Toc13854576"/>
      <w:r>
        <w:rPr>
          <w:rFonts w:hint="eastAsia"/>
        </w:rPr>
        <w:t>读卡器测试</w:t>
      </w:r>
      <w:bookmarkEnd w:id="6"/>
    </w:p>
    <w:p>
      <w:pPr>
        <w:ind w:firstLine="420"/>
        <w:jc w:val="both"/>
        <w:rPr>
          <w:rFonts w:ascii="宋体" w:hAnsi="宋体"/>
          <w:snapToGrid w:val="0"/>
          <w:color w:val="000000"/>
          <w:kern w:val="28"/>
          <w:sz w:val="28"/>
          <w:szCs w:val="28"/>
        </w:rPr>
      </w:pPr>
      <w:r>
        <w:rPr>
          <w:rFonts w:hint="eastAsia" w:ascii="宋体" w:hAnsi="宋体"/>
          <w:snapToGrid w:val="0"/>
          <w:color w:val="000000"/>
          <w:kern w:val="28"/>
          <w:sz w:val="28"/>
          <w:szCs w:val="28"/>
        </w:rPr>
        <w:t>本查询平台为提高窗口业务人员办事效率，采用刷二代身份证读取信息的方式减少键盘输入时间，从而方便了系统操作，减少了办事群众等待时间，提高办事效率。</w:t>
      </w:r>
    </w:p>
    <w:p>
      <w:pPr>
        <w:ind w:firstLine="420"/>
        <w:jc w:val="both"/>
        <w:rPr>
          <w:rFonts w:ascii="宋体" w:hAnsi="宋体"/>
          <w:snapToGrid w:val="0"/>
          <w:color w:val="000000"/>
          <w:kern w:val="28"/>
        </w:rPr>
      </w:pPr>
      <w:r>
        <w:rPr>
          <w:rFonts w:hint="eastAsia" w:ascii="宋体" w:hAnsi="宋体"/>
          <w:snapToGrid w:val="0"/>
          <w:color w:val="000000"/>
          <w:kern w:val="28"/>
          <w:sz w:val="28"/>
          <w:szCs w:val="28"/>
        </w:rPr>
        <w:t>请先自行安装读卡器驱动，成功安装后，在读卡器测试界面，可选择相应的设备品牌型号，并进行读卡检测。若安装使用读卡器期间出现异常情况，可在本页面</w:t>
      </w:r>
      <w:r>
        <w:rPr>
          <w:rFonts w:hint="eastAsia" w:ascii="宋体" w:hAnsi="宋体"/>
          <w:b/>
          <w:bCs/>
          <w:snapToGrid w:val="0"/>
          <w:color w:val="000000"/>
          <w:kern w:val="28"/>
          <w:sz w:val="28"/>
          <w:szCs w:val="28"/>
        </w:rPr>
        <w:t>点击下载“身份证读卡器使用说明”</w:t>
      </w:r>
      <w:r>
        <w:rPr>
          <w:rFonts w:hint="eastAsia" w:ascii="宋体" w:hAnsi="宋体"/>
          <w:snapToGrid w:val="0"/>
          <w:color w:val="000000"/>
          <w:kern w:val="28"/>
          <w:sz w:val="28"/>
          <w:szCs w:val="28"/>
        </w:rPr>
        <w:t>参照并解决处理相关问题，具体界面如图4-1所示</w:t>
      </w:r>
      <w:r>
        <w:rPr>
          <w:rFonts w:hint="eastAsia" w:ascii="宋体" w:hAnsi="宋体"/>
          <w:snapToGrid w:val="0"/>
          <w:color w:val="000000"/>
          <w:kern w:val="28"/>
        </w:rPr>
        <w:t>。</w:t>
      </w:r>
    </w:p>
    <w:p>
      <w:pPr>
        <w:jc w:val="both"/>
      </w:pPr>
      <w:r>
        <w:drawing>
          <wp:inline distT="0" distB="0" distL="114300" distR="114300">
            <wp:extent cx="5269865" cy="1791335"/>
            <wp:effectExtent l="0" t="0" r="698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9865" cy="1791335"/>
                    </a:xfrm>
                    <a:prstGeom prst="rect">
                      <a:avLst/>
                    </a:prstGeom>
                    <a:noFill/>
                    <a:ln>
                      <a:noFill/>
                    </a:ln>
                  </pic:spPr>
                </pic:pic>
              </a:graphicData>
            </a:graphic>
          </wp:inline>
        </w:drawing>
      </w:r>
    </w:p>
    <w:p>
      <w:pPr>
        <w:jc w:val="center"/>
        <w:rPr>
          <w:rFonts w:hint="eastAsia" w:ascii="仿宋" w:hAnsi="仿宋" w:eastAsia="仿宋" w:cs="仿宋"/>
          <w:sz w:val="21"/>
          <w:szCs w:val="21"/>
        </w:rPr>
      </w:pPr>
      <w:r>
        <w:rPr>
          <w:rFonts w:hint="eastAsia" w:ascii="仿宋" w:hAnsi="仿宋" w:eastAsia="仿宋" w:cs="仿宋"/>
          <w:sz w:val="21"/>
          <w:szCs w:val="21"/>
        </w:rPr>
        <w:t>图4-1 “读卡器”界面</w:t>
      </w:r>
    </w:p>
    <w:p>
      <w:pPr>
        <w:bidi w:val="0"/>
        <w:rPr>
          <w:rFonts w:hint="eastAsia"/>
          <w:sz w:val="22"/>
          <w:szCs w:val="22"/>
          <w:lang w:eastAsia="zh-CN"/>
        </w:rPr>
      </w:pPr>
      <w:r>
        <w:rPr>
          <w:rFonts w:hint="eastAsia"/>
          <w:sz w:val="22"/>
          <w:szCs w:val="22"/>
          <w:lang w:val="en-US" w:eastAsia="zh-CN"/>
        </w:rPr>
        <w:t>注：精伦的读卡器需要安装精伦OCX控件（控件可在杭州数据共享工作群中咨询工作人员）</w:t>
      </w:r>
    </w:p>
    <w:p>
      <w:pPr>
        <w:pStyle w:val="3"/>
        <w:numPr>
          <w:ilvl w:val="0"/>
          <w:numId w:val="2"/>
        </w:numPr>
      </w:pPr>
      <w:bookmarkStart w:id="7" w:name="_Toc13854577"/>
      <w:r>
        <w:rPr>
          <w:rFonts w:hint="eastAsia"/>
        </w:rPr>
        <w:t>材料核查</w:t>
      </w:r>
      <w:bookmarkEnd w:id="7"/>
    </w:p>
    <w:p>
      <w:pPr>
        <w:spacing w:line="360" w:lineRule="auto"/>
        <w:ind w:firstLine="420"/>
        <w:rPr>
          <w:rFonts w:hint="eastAsia"/>
          <w:sz w:val="28"/>
        </w:rPr>
      </w:pPr>
      <w:r>
        <w:rPr>
          <w:rFonts w:hint="eastAsia"/>
          <w:sz w:val="28"/>
        </w:rPr>
        <w:t>如果在查询材料数据时，发现查询结果数据有错误或缺失，可以发起核查数据的申请，申请将提交给相关责任部门进行核查，并在系统中反馈核查结果。</w:t>
      </w:r>
    </w:p>
    <w:p>
      <w:pPr>
        <w:jc w:val="center"/>
      </w:pPr>
      <w:r>
        <w:drawing>
          <wp:inline distT="0" distB="0" distL="114300" distR="114300">
            <wp:extent cx="5264150" cy="982345"/>
            <wp:effectExtent l="0" t="0" r="12700" b="825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8"/>
                    <a:stretch>
                      <a:fillRect/>
                    </a:stretch>
                  </pic:blipFill>
                  <pic:spPr>
                    <a:xfrm>
                      <a:off x="0" y="0"/>
                      <a:ext cx="5264150" cy="98234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图5-1 材料核查</w:t>
      </w:r>
    </w:p>
    <w:p>
      <w:pPr>
        <w:ind w:firstLine="420"/>
        <w:jc w:val="both"/>
        <w:rPr>
          <w:sz w:val="28"/>
          <w:szCs w:val="28"/>
        </w:rPr>
      </w:pPr>
      <w:r>
        <w:rPr>
          <w:rFonts w:hint="eastAsia"/>
          <w:sz w:val="28"/>
          <w:szCs w:val="28"/>
        </w:rPr>
        <w:t>材料核查包含【我的申请】和【我的核查】两个功能。</w:t>
      </w:r>
    </w:p>
    <w:p>
      <w:pPr>
        <w:ind w:firstLine="420"/>
        <w:jc w:val="both"/>
        <w:rPr>
          <w:rFonts w:hint="eastAsia"/>
          <w:sz w:val="28"/>
          <w:szCs w:val="28"/>
        </w:rPr>
      </w:pPr>
      <w:r>
        <w:rPr>
          <w:rFonts w:hint="eastAsia"/>
          <w:sz w:val="28"/>
          <w:szCs w:val="28"/>
        </w:rPr>
        <w:t>【我的申请】是针对</w:t>
      </w:r>
      <w:r>
        <w:rPr>
          <w:rFonts w:hint="eastAsia"/>
          <w:sz w:val="28"/>
        </w:rPr>
        <w:t>错误或缺失数据</w:t>
      </w:r>
      <w:r>
        <w:rPr>
          <w:rFonts w:hint="eastAsia"/>
          <w:sz w:val="28"/>
          <w:szCs w:val="28"/>
        </w:rPr>
        <w:t>提出的材料数据核查申请；</w:t>
      </w:r>
    </w:p>
    <w:p>
      <w:pPr>
        <w:ind w:firstLine="420"/>
        <w:jc w:val="both"/>
        <w:rPr>
          <w:sz w:val="28"/>
          <w:szCs w:val="28"/>
        </w:rPr>
      </w:pPr>
      <w:r>
        <w:rPr>
          <w:rFonts w:hint="eastAsia"/>
          <w:sz w:val="28"/>
          <w:szCs w:val="28"/>
        </w:rPr>
        <w:t>申请需填写的内容包括：材料名称、申请人、申请人电话、核查对象、核查对象编码等，核查人、核查人电话一般由系统自动带出责任部门的数据负责人（目前系统尚未配置所有材料的数据负责人，所以可能无法提交申请）。</w:t>
      </w:r>
    </w:p>
    <w:p>
      <w:pPr>
        <w:rPr>
          <w:rFonts w:ascii="宋体" w:hAnsi="宋体" w:cs="宋体"/>
        </w:rPr>
      </w:pPr>
      <w:r>
        <w:rPr>
          <w:rFonts w:ascii="宋体" w:hAnsi="宋体" w:cs="宋体"/>
        </w:rPr>
        <w:drawing>
          <wp:inline distT="0" distB="0" distL="0" distR="0">
            <wp:extent cx="5274310" cy="2544445"/>
            <wp:effectExtent l="0" t="0" r="2540" b="8255"/>
            <wp:docPr id="3" name="图片 3" descr="C:\Users\Administrator\AppData\Roaming\Tencent\Users\895704241\QQ\WinTemp\RichOle\~DGZRO5Z@8UJ09LBE7YE07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895704241\QQ\WinTemp\RichOle\~DGZRO5Z@8UJ09LBE7YE07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27516" cy="2570018"/>
                    </a:xfrm>
                    <a:prstGeom prst="rect">
                      <a:avLst/>
                    </a:prstGeom>
                    <a:noFill/>
                    <a:ln>
                      <a:noFill/>
                    </a:ln>
                  </pic:spPr>
                </pic:pic>
              </a:graphicData>
            </a:graphic>
          </wp:inline>
        </w:drawing>
      </w:r>
    </w:p>
    <w:p>
      <w:pPr>
        <w:jc w:val="both"/>
        <w:rPr>
          <w:sz w:val="28"/>
          <w:szCs w:val="28"/>
        </w:rPr>
      </w:pPr>
      <w:r>
        <w:rPr>
          <w:rFonts w:hint="eastAsia"/>
          <w:sz w:val="28"/>
          <w:szCs w:val="28"/>
        </w:rPr>
        <w:t>【我的核查】是数据责任部门对材料的正确性进行核查，之后上传相应的材料数据信息。</w:t>
      </w:r>
    </w:p>
    <w:p>
      <w:r>
        <w:drawing>
          <wp:inline distT="0" distB="0" distL="114300" distR="114300">
            <wp:extent cx="5264150" cy="1212215"/>
            <wp:effectExtent l="0" t="0" r="1270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64150" cy="1212215"/>
                    </a:xfrm>
                    <a:prstGeom prst="rect">
                      <a:avLst/>
                    </a:prstGeom>
                    <a:noFill/>
                    <a:ln>
                      <a:noFill/>
                    </a:ln>
                  </pic:spPr>
                </pic:pic>
              </a:graphicData>
            </a:graphic>
          </wp:inline>
        </w:drawing>
      </w:r>
    </w:p>
    <w:p>
      <w:pPr>
        <w:rPr>
          <w:highlight w:val="yellow"/>
        </w:rPr>
      </w:pPr>
    </w:p>
    <w:p>
      <w:pPr>
        <w:pStyle w:val="3"/>
        <w:numPr>
          <w:ilvl w:val="0"/>
          <w:numId w:val="2"/>
        </w:numPr>
      </w:pPr>
      <w:bookmarkStart w:id="8" w:name="_Toc13854578"/>
      <w:r>
        <w:rPr>
          <w:rFonts w:hint="eastAsia"/>
        </w:rPr>
        <w:t>查询记录</w:t>
      </w:r>
      <w:bookmarkEnd w:id="8"/>
    </w:p>
    <w:p>
      <w:pPr>
        <w:ind w:firstLine="420"/>
        <w:jc w:val="both"/>
        <w:rPr>
          <w:sz w:val="28"/>
          <w:szCs w:val="28"/>
        </w:rPr>
      </w:pPr>
      <w:r>
        <w:rPr>
          <w:rFonts w:hint="eastAsia"/>
          <w:sz w:val="28"/>
          <w:szCs w:val="28"/>
        </w:rPr>
        <w:t>查询记录主要用来记录使用系统查询功能的日志，包括编号、查询时间、所属单位、查询人、查询材料名称、查询结果、查询条件和IP等信息。该功能主要提供给查询平台的系统维护人员或管理员使用。查询平台管理员可通过查询结果（无、接口异常、成功获取数据、未查询到数据）、开始时间、结束时间、关键字等查询记录。</w:t>
      </w:r>
    </w:p>
    <w:p>
      <w:r>
        <w:drawing>
          <wp:inline distT="0" distB="0" distL="114300" distR="114300">
            <wp:extent cx="5273040" cy="513715"/>
            <wp:effectExtent l="0" t="0" r="381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3040" cy="51371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图6-1 查询记录页面</w:t>
      </w:r>
    </w:p>
    <w:p>
      <w:pPr>
        <w:pStyle w:val="3"/>
        <w:numPr>
          <w:ilvl w:val="0"/>
          <w:numId w:val="2"/>
        </w:numPr>
      </w:pPr>
      <w:bookmarkStart w:id="9" w:name="_Toc13854579"/>
      <w:r>
        <w:rPr>
          <w:rFonts w:hint="eastAsia"/>
        </w:rPr>
        <w:t>查询统计</w:t>
      </w:r>
      <w:bookmarkEnd w:id="9"/>
    </w:p>
    <w:p>
      <w:pPr>
        <w:ind w:firstLine="420"/>
        <w:rPr>
          <w:sz w:val="28"/>
          <w:szCs w:val="28"/>
        </w:rPr>
      </w:pPr>
      <w:r>
        <w:rPr>
          <w:rFonts w:hint="eastAsia"/>
          <w:sz w:val="28"/>
          <w:szCs w:val="28"/>
        </w:rPr>
        <w:t>查询统计页面包含部门查询统计、个人查询统计、接口查询统计和时间查询统计多个维度的统计指标。该功能主要提供给查询平台的系统维护人员或管理员使用。平台管理员可以通过多维度的统计指标宏观上掌握查询动态。</w:t>
      </w:r>
    </w:p>
    <w:p>
      <w:r>
        <w:drawing>
          <wp:inline distT="0" distB="0" distL="114300" distR="114300">
            <wp:extent cx="5261610" cy="998220"/>
            <wp:effectExtent l="0" t="0" r="1524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61610" cy="99822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图7-1 查询统计页面</w:t>
      </w:r>
    </w:p>
    <w:p>
      <w:r>
        <w:rPr>
          <w:rFonts w:hint="eastAsia"/>
          <w:sz w:val="28"/>
          <w:szCs w:val="28"/>
        </w:rPr>
        <w:t>注：平台管理员也可通过【导出Excel】按钮，将所需查询结果导出至本地，方便进一步的研究分析。</w:t>
      </w:r>
    </w:p>
    <w:p>
      <w:pPr>
        <w:pStyle w:val="3"/>
        <w:numPr>
          <w:ilvl w:val="0"/>
          <w:numId w:val="2"/>
        </w:numPr>
      </w:pPr>
      <w:bookmarkStart w:id="10" w:name="_Toc13854580"/>
      <w:r>
        <w:rPr>
          <w:rFonts w:hint="eastAsia"/>
        </w:rPr>
        <w:t>更多功能</w:t>
      </w:r>
      <w:bookmarkEnd w:id="10"/>
    </w:p>
    <w:p>
      <w:pPr>
        <w:ind w:firstLine="420"/>
        <w:rPr>
          <w:rFonts w:ascii="宋体" w:hAnsi="宋体"/>
          <w:snapToGrid w:val="0"/>
          <w:color w:val="000000"/>
          <w:kern w:val="28"/>
          <w:sz w:val="28"/>
          <w:szCs w:val="28"/>
        </w:rPr>
      </w:pPr>
      <w:r>
        <w:rPr>
          <w:rFonts w:hint="eastAsia" w:ascii="宋体" w:hAnsi="宋体"/>
          <w:snapToGrid w:val="0"/>
          <w:color w:val="000000"/>
          <w:kern w:val="28"/>
          <w:sz w:val="28"/>
          <w:szCs w:val="28"/>
        </w:rPr>
        <w:t>该模块包含平台通知发布，问题反馈、平台查询时间段设置，主管身份证号授权四个模块功能。</w:t>
      </w:r>
    </w:p>
    <w:p>
      <w:pPr>
        <w:jc w:val="both"/>
      </w:pPr>
      <w:r>
        <w:drawing>
          <wp:inline distT="0" distB="0" distL="114300" distR="114300">
            <wp:extent cx="5258435" cy="962660"/>
            <wp:effectExtent l="0" t="0" r="184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58435" cy="96266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图8-1 更多功能页面</w:t>
      </w:r>
    </w:p>
    <w:p>
      <w:pPr>
        <w:pStyle w:val="4"/>
        <w:numPr>
          <w:ilvl w:val="2"/>
          <w:numId w:val="0"/>
        </w:numPr>
        <w:ind w:left="142"/>
      </w:pPr>
      <w:bookmarkStart w:id="11" w:name="_Toc13854581"/>
      <w:r>
        <w:rPr>
          <w:rFonts w:hint="eastAsia"/>
        </w:rPr>
        <w:t>8.1更多功能--平台通知发布</w:t>
      </w:r>
      <w:bookmarkEnd w:id="11"/>
    </w:p>
    <w:p>
      <w:pPr>
        <w:ind w:firstLine="420"/>
        <w:rPr>
          <w:rFonts w:ascii="宋体" w:hAnsi="宋体"/>
          <w:snapToGrid w:val="0"/>
          <w:color w:val="000000"/>
          <w:kern w:val="28"/>
        </w:rPr>
      </w:pPr>
      <w:r>
        <w:rPr>
          <w:rFonts w:hint="eastAsia" w:ascii="宋体" w:hAnsi="宋体"/>
          <w:snapToGrid w:val="0"/>
          <w:color w:val="000000"/>
          <w:kern w:val="28"/>
          <w:sz w:val="28"/>
          <w:szCs w:val="28"/>
        </w:rPr>
        <w:t>在此模块中平台管理员可将相关通知公告发布至平台中。</w:t>
      </w:r>
      <w:r>
        <w:rPr>
          <w:rFonts w:hint="eastAsia"/>
          <w:sz w:val="28"/>
          <w:szCs w:val="28"/>
        </w:rPr>
        <w:t>平台管理员</w:t>
      </w:r>
      <w:r>
        <w:rPr>
          <w:rFonts w:hint="eastAsia" w:ascii="宋体" w:hAnsi="宋体"/>
          <w:snapToGrid w:val="0"/>
          <w:color w:val="000000"/>
          <w:kern w:val="28"/>
          <w:sz w:val="28"/>
          <w:szCs w:val="28"/>
        </w:rPr>
        <w:t>点击【新发布】按钮，即可添加新的通知公告。</w:t>
      </w:r>
    </w:p>
    <w:p>
      <w:pPr>
        <w:rPr>
          <w:rFonts w:ascii="宋体" w:hAnsi="宋体"/>
          <w:snapToGrid w:val="0"/>
          <w:color w:val="000000"/>
          <w:kern w:val="28"/>
        </w:rPr>
      </w:pPr>
      <w:r>
        <w:drawing>
          <wp:inline distT="0" distB="0" distL="114300" distR="114300">
            <wp:extent cx="5270500" cy="1421765"/>
            <wp:effectExtent l="0" t="0" r="635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70500" cy="142176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图8-2 平台通知发布</w:t>
      </w:r>
    </w:p>
    <w:p>
      <w:pPr>
        <w:pStyle w:val="4"/>
        <w:numPr>
          <w:ilvl w:val="2"/>
          <w:numId w:val="0"/>
        </w:numPr>
      </w:pPr>
      <w:bookmarkStart w:id="12" w:name="_Toc13854582"/>
      <w:r>
        <w:rPr>
          <w:rFonts w:hint="eastAsia"/>
        </w:rPr>
        <w:t>8.2 更多功能--问题反馈</w:t>
      </w:r>
      <w:bookmarkEnd w:id="12"/>
    </w:p>
    <w:p>
      <w:pPr>
        <w:rPr>
          <w:sz w:val="28"/>
          <w:szCs w:val="28"/>
        </w:rPr>
      </w:pPr>
      <w:r>
        <w:rPr>
          <w:rFonts w:hint="eastAsia"/>
        </w:rPr>
        <w:t xml:space="preserve"> </w:t>
      </w:r>
      <w:r>
        <w:rPr>
          <w:rFonts w:hint="eastAsia"/>
        </w:rPr>
        <w:tab/>
      </w:r>
      <w:r>
        <w:rPr>
          <w:rFonts w:hint="eastAsia"/>
          <w:sz w:val="28"/>
          <w:szCs w:val="28"/>
        </w:rPr>
        <w:t>在此模块中平台管理员可将问题通过问题反馈至后台技术人员。点击【+新增】按钮，即可新增新的问题。平台管理员也可通过问题状态查看问题是否已回复，及回复内容等。</w:t>
      </w:r>
    </w:p>
    <w:p>
      <w:r>
        <w:drawing>
          <wp:inline distT="0" distB="0" distL="114300" distR="114300">
            <wp:extent cx="5266690" cy="1373505"/>
            <wp:effectExtent l="0" t="0" r="10160"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66690" cy="1373505"/>
                    </a:xfrm>
                    <a:prstGeom prst="rect">
                      <a:avLst/>
                    </a:prstGeom>
                    <a:noFill/>
                    <a:ln>
                      <a:noFill/>
                    </a:ln>
                  </pic:spPr>
                </pic:pic>
              </a:graphicData>
            </a:graphic>
          </wp:inline>
        </w:drawing>
      </w:r>
    </w:p>
    <w:p>
      <w:pPr>
        <w:jc w:val="center"/>
        <w:rPr>
          <w:rFonts w:ascii="仿宋" w:hAnsi="仿宋" w:eastAsia="仿宋" w:cs="仿宋"/>
        </w:rPr>
      </w:pPr>
      <w:r>
        <w:rPr>
          <w:rFonts w:hint="eastAsia" w:ascii="仿宋" w:hAnsi="仿宋" w:eastAsia="仿宋" w:cs="仿宋"/>
        </w:rPr>
        <w:t>图8-3 问题反馈</w:t>
      </w:r>
    </w:p>
    <w:p>
      <w:pPr>
        <w:pStyle w:val="4"/>
        <w:numPr>
          <w:ilvl w:val="2"/>
          <w:numId w:val="0"/>
        </w:numPr>
      </w:pPr>
      <w:bookmarkStart w:id="13" w:name="_Toc13854583"/>
      <w:r>
        <w:rPr>
          <w:rFonts w:hint="eastAsia"/>
        </w:rPr>
        <w:t>8.3 更多功能--设置</w:t>
      </w:r>
      <w:bookmarkEnd w:id="13"/>
    </w:p>
    <w:p>
      <w:pPr>
        <w:widowControl w:val="0"/>
        <w:spacing w:line="360" w:lineRule="auto"/>
        <w:ind w:firstLine="560" w:firstLineChars="200"/>
        <w:rPr>
          <w:rFonts w:ascii="宋体" w:hAnsi="宋体"/>
          <w:snapToGrid w:val="0"/>
          <w:color w:val="000000"/>
          <w:kern w:val="28"/>
          <w:sz w:val="28"/>
          <w:szCs w:val="28"/>
        </w:rPr>
      </w:pPr>
      <w:r>
        <w:rPr>
          <w:rFonts w:hint="eastAsia" w:ascii="宋体" w:hAnsi="宋体"/>
          <w:snapToGrid w:val="0"/>
          <w:color w:val="000000"/>
          <w:kern w:val="28"/>
          <w:sz w:val="28"/>
          <w:szCs w:val="28"/>
        </w:rPr>
        <w:t>在该模块中可修改提供查询服务时间段，以防止数据以不正当手段泄露，保障数据安全。若在设定查询的时间段外查询，则页面提示“系统暂停服务”。具体如图8-4、8-5所示。</w:t>
      </w:r>
    </w:p>
    <w:p>
      <w:pPr>
        <w:widowControl w:val="0"/>
        <w:spacing w:line="360" w:lineRule="auto"/>
        <w:rPr>
          <w:rFonts w:ascii="宋体" w:hAnsi="宋体"/>
          <w:snapToGrid w:val="0"/>
          <w:color w:val="000000"/>
          <w:kern w:val="28"/>
        </w:rPr>
      </w:pPr>
      <w:r>
        <w:drawing>
          <wp:inline distT="0" distB="0" distL="114300" distR="114300">
            <wp:extent cx="5266690" cy="2197100"/>
            <wp:effectExtent l="0" t="0" r="1016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66690" cy="2197100"/>
                    </a:xfrm>
                    <a:prstGeom prst="rect">
                      <a:avLst/>
                    </a:prstGeom>
                    <a:noFill/>
                    <a:ln>
                      <a:noFill/>
                    </a:ln>
                  </pic:spPr>
                </pic:pic>
              </a:graphicData>
            </a:graphic>
          </wp:inline>
        </w:drawing>
      </w:r>
    </w:p>
    <w:p>
      <w:pPr>
        <w:pStyle w:val="7"/>
        <w:spacing w:line="26" w:lineRule="atLeast"/>
        <w:jc w:val="center"/>
        <w:rPr>
          <w:rFonts w:ascii="仿宋" w:hAnsi="仿宋" w:eastAsia="仿宋" w:cs="仿宋"/>
          <w:sz w:val="21"/>
          <w:szCs w:val="21"/>
        </w:rPr>
      </w:pPr>
      <w:r>
        <w:rPr>
          <w:rFonts w:hint="eastAsia" w:ascii="仿宋" w:hAnsi="仿宋" w:eastAsia="仿宋" w:cs="仿宋"/>
          <w:sz w:val="21"/>
          <w:szCs w:val="21"/>
        </w:rPr>
        <w:t>图 8-4 平台开放时间设置界面</w:t>
      </w:r>
    </w:p>
    <w:p>
      <w:pPr>
        <w:jc w:val="both"/>
      </w:pPr>
      <w:r>
        <w:drawing>
          <wp:inline distT="0" distB="0" distL="114300" distR="114300">
            <wp:extent cx="5270500" cy="2571115"/>
            <wp:effectExtent l="0" t="0" r="635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70500" cy="2571115"/>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rPr>
        <w:t>图8-5</w:t>
      </w:r>
      <w:r>
        <w:rPr>
          <w:rFonts w:hint="eastAsia"/>
        </w:rPr>
        <w:t xml:space="preserve"> </w:t>
      </w:r>
      <w:r>
        <w:rPr>
          <w:rFonts w:hint="eastAsia" w:ascii="仿宋" w:hAnsi="仿宋" w:eastAsia="仿宋" w:cs="仿宋"/>
          <w:sz w:val="21"/>
          <w:szCs w:val="21"/>
        </w:rPr>
        <w:t>非限定时间查询界面</w:t>
      </w:r>
    </w:p>
    <w:p>
      <w:pPr>
        <w:jc w:val="both"/>
        <w:rPr>
          <w:rFonts w:ascii="仿宋" w:hAnsi="仿宋" w:eastAsia="仿宋" w:cs="仿宋"/>
          <w:sz w:val="21"/>
          <w:szCs w:val="21"/>
        </w:rPr>
      </w:pPr>
    </w:p>
    <w:p>
      <w:pPr>
        <w:pStyle w:val="4"/>
        <w:numPr>
          <w:ilvl w:val="2"/>
          <w:numId w:val="0"/>
        </w:numPr>
      </w:pPr>
      <w:bookmarkStart w:id="14" w:name="_Toc13854584"/>
      <w:r>
        <w:rPr>
          <w:rFonts w:hint="eastAsia"/>
        </w:rPr>
        <w:t>8.4 更多功能--身份证号授权</w:t>
      </w:r>
      <w:bookmarkEnd w:id="14"/>
    </w:p>
    <w:p>
      <w:pPr>
        <w:ind w:firstLine="420"/>
        <w:rPr>
          <w:rFonts w:ascii="宋体" w:hAnsi="宋体"/>
          <w:snapToGrid w:val="0"/>
          <w:color w:val="000000"/>
          <w:kern w:val="28"/>
          <w:sz w:val="28"/>
          <w:szCs w:val="28"/>
        </w:rPr>
      </w:pPr>
      <w:r>
        <w:rPr>
          <w:rFonts w:hint="eastAsia" w:ascii="宋体" w:hAnsi="宋体"/>
          <w:snapToGrid w:val="0"/>
          <w:color w:val="000000"/>
          <w:kern w:val="28"/>
          <w:sz w:val="28"/>
          <w:szCs w:val="28"/>
        </w:rPr>
        <w:t>在该模块中主管用户</w:t>
      </w:r>
      <w:r>
        <w:rPr>
          <w:rFonts w:hint="eastAsia"/>
          <w:sz w:val="28"/>
          <w:szCs w:val="28"/>
        </w:rPr>
        <w:t>（即：给业务人员授权的管理员用户）</w:t>
      </w:r>
      <w:r>
        <w:rPr>
          <w:rFonts w:hint="eastAsia" w:ascii="宋体" w:hAnsi="宋体"/>
          <w:snapToGrid w:val="0"/>
          <w:color w:val="000000"/>
          <w:kern w:val="28"/>
          <w:sz w:val="28"/>
          <w:szCs w:val="28"/>
        </w:rPr>
        <w:t>可为窗口办事人员授权特殊身份证号查询（如：芯片失效身份证或无芯片身份证等）。在某些敏感查询项中（如：房产证明查询、公安户籍信息查询等），业务员只能刷办事群众的身份证来获取授权查询。当办事群众的身份证芯片失效时，业务员就无法在业务窗口的读卡器上读取信息并查询某些办事过程中需要的敏感信息。这时就需要主管人员来为该业务人员授权去查询此项敏感信息，以保证事项的顺利办结。具体如图8-6所示。</w:t>
      </w:r>
    </w:p>
    <w:p>
      <w:pPr>
        <w:rPr>
          <w:rFonts w:ascii="宋体" w:hAnsi="宋体"/>
          <w:snapToGrid w:val="0"/>
          <w:color w:val="000000"/>
          <w:kern w:val="28"/>
        </w:rPr>
      </w:pPr>
      <w:r>
        <w:drawing>
          <wp:inline distT="0" distB="0" distL="114300" distR="114300">
            <wp:extent cx="5271135" cy="1835150"/>
            <wp:effectExtent l="0" t="0" r="5715"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5271135" cy="1835150"/>
                    </a:xfrm>
                    <a:prstGeom prst="rect">
                      <a:avLst/>
                    </a:prstGeom>
                    <a:noFill/>
                    <a:ln>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图8-6 身份证号授权界面</w:t>
      </w:r>
    </w:p>
    <w:p>
      <w:pPr>
        <w:ind w:firstLine="420"/>
        <w:jc w:val="both"/>
        <w:rPr>
          <w:rFonts w:ascii="宋体" w:hAnsi="宋体"/>
          <w:sz w:val="28"/>
          <w:szCs w:val="28"/>
        </w:rPr>
      </w:pPr>
      <w:r>
        <w:rPr>
          <w:rFonts w:hint="eastAsia" w:ascii="宋体" w:hAnsi="宋体"/>
          <w:sz w:val="28"/>
          <w:szCs w:val="28"/>
        </w:rPr>
        <w:t>在身份证号授权界面点击右上角“新增”按钮，即可进入新增身份证号授权界面。在该页面填写需要查询的办事群众姓名及身份证号，设定查询的有效时长，默认时长为20分钟。选择对应的窗口业务人员（操作人员），点击授权即可。具体如图8-7所示。</w:t>
      </w:r>
    </w:p>
    <w:p>
      <w:pPr>
        <w:jc w:val="both"/>
      </w:pPr>
      <w:r>
        <w:drawing>
          <wp:inline distT="0" distB="0" distL="114300" distR="114300">
            <wp:extent cx="5266690" cy="2085975"/>
            <wp:effectExtent l="0" t="0" r="1016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5266690" cy="2085975"/>
                    </a:xfrm>
                    <a:prstGeom prst="rect">
                      <a:avLst/>
                    </a:prstGeom>
                    <a:noFill/>
                    <a:ln>
                      <a:noFill/>
                    </a:ln>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图8-7 身份证号授权新增页面</w:t>
      </w:r>
    </w:p>
    <w:p>
      <w:pPr>
        <w:ind w:firstLine="420"/>
        <w:jc w:val="both"/>
        <w:rPr>
          <w:rFonts w:ascii="宋体" w:hAnsi="宋体"/>
          <w:snapToGrid w:val="0"/>
          <w:color w:val="000000"/>
          <w:kern w:val="28"/>
          <w:sz w:val="28"/>
          <w:szCs w:val="28"/>
        </w:rPr>
      </w:pPr>
      <w:r>
        <w:rPr>
          <w:rFonts w:hint="eastAsia" w:ascii="宋体" w:hAnsi="宋体"/>
          <w:snapToGrid w:val="0"/>
          <w:color w:val="000000"/>
          <w:kern w:val="28"/>
          <w:sz w:val="28"/>
          <w:szCs w:val="28"/>
        </w:rPr>
        <w:t>主管授权成功后，可在授权清单中查看，具体如图8-8所示。</w:t>
      </w:r>
    </w:p>
    <w:p>
      <w:pPr>
        <w:jc w:val="both"/>
      </w:pPr>
      <w:r>
        <w:drawing>
          <wp:inline distT="0" distB="0" distL="114300" distR="114300">
            <wp:extent cx="4594225" cy="2715895"/>
            <wp:effectExtent l="0" t="0" r="15875" b="825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30"/>
                    <a:srcRect l="12800" t="7564"/>
                    <a:stretch>
                      <a:fillRect/>
                    </a:stretch>
                  </pic:blipFill>
                  <pic:spPr>
                    <a:xfrm>
                      <a:off x="0" y="0"/>
                      <a:ext cx="4594225" cy="2715895"/>
                    </a:xfrm>
                    <a:prstGeom prst="rect">
                      <a:avLst/>
                    </a:prstGeom>
                    <a:noFill/>
                    <a:ln w="9525">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图8-8 授权状态界面</w:t>
      </w:r>
    </w:p>
    <w:p>
      <w:pPr>
        <w:jc w:val="center"/>
        <w:rPr>
          <w:rFonts w:ascii="仿宋" w:hAnsi="仿宋" w:eastAsia="仿宋" w:cs="仿宋"/>
          <w:sz w:val="21"/>
          <w:szCs w:val="21"/>
        </w:rPr>
      </w:pPr>
    </w:p>
    <w:p>
      <w:pPr>
        <w:ind w:firstLine="420"/>
        <w:jc w:val="both"/>
      </w:pPr>
      <w:r>
        <w:rPr>
          <w:rFonts w:hint="eastAsia" w:ascii="宋体" w:hAnsi="宋体"/>
          <w:sz w:val="28"/>
          <w:szCs w:val="28"/>
        </w:rPr>
        <w:t>此时窗口业务员在相应的敏感查询项中点击授权查询，即可选取到相应的办事群众信息，选择相应信息并查询。</w:t>
      </w:r>
    </w:p>
    <w:p>
      <w:pPr>
        <w:jc w:val="both"/>
      </w:pPr>
      <w:r>
        <w:drawing>
          <wp:inline distT="0" distB="0" distL="114300" distR="114300">
            <wp:extent cx="5268595" cy="2652395"/>
            <wp:effectExtent l="0" t="0" r="8255" b="1460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1"/>
                    <a:srcRect t="10461"/>
                    <a:stretch>
                      <a:fillRect/>
                    </a:stretch>
                  </pic:blipFill>
                  <pic:spPr>
                    <a:xfrm>
                      <a:off x="0" y="0"/>
                      <a:ext cx="5268595" cy="2652395"/>
                    </a:xfrm>
                    <a:prstGeom prst="rect">
                      <a:avLst/>
                    </a:prstGeom>
                    <a:noFill/>
                    <a:ln w="9525">
                      <a:noFill/>
                    </a:ln>
                  </pic:spPr>
                </pic:pic>
              </a:graphicData>
            </a:graphic>
          </wp:inline>
        </w:drawing>
      </w:r>
    </w:p>
    <w:p>
      <w:pPr>
        <w:jc w:val="center"/>
        <w:rPr>
          <w:rFonts w:ascii="仿宋" w:hAnsi="仿宋" w:eastAsia="仿宋" w:cs="仿宋"/>
          <w:sz w:val="21"/>
          <w:szCs w:val="21"/>
        </w:rPr>
      </w:pPr>
      <w:r>
        <w:rPr>
          <w:rFonts w:hint="eastAsia" w:ascii="仿宋" w:hAnsi="仿宋" w:eastAsia="仿宋" w:cs="仿宋"/>
          <w:sz w:val="21"/>
          <w:szCs w:val="21"/>
        </w:rPr>
        <w:t>图 8-9 特殊信息授权查询界面</w:t>
      </w:r>
    </w:p>
    <w:p>
      <w:pPr>
        <w:jc w:val="both"/>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vf1cQAgAACQQAAA4AAABkcnMvZTJvRG9jLnhtbK1TzY7TMBC+I/EO&#10;lu80aStW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WdDplBLNFHZ0/vb1/P3n+ccXAh8Iaq2fI29rkRm6N6bDoge/hzPO&#10;3VVOxS8mIoiD6tOVXtEFwuOl2WQ2yxHiiA0/wM+er1vnw1thFIlGQR32l2hlx40PfeqQEqtps26k&#10;TDuUmrQFvZm+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739XEAIAAAk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suff w:val="nothing"/>
      <w:lvlText w:val="第 %1 部分 "/>
      <w:lvlJc w:val="left"/>
      <w:pPr>
        <w:ind w:left="1315" w:hanging="180"/>
      </w:pPr>
      <w:rPr>
        <w:rFonts w:hint="default" w:ascii="Times New Roman" w:hAnsi="Times New Roman" w:eastAsia="黑体"/>
        <w:b w:val="0"/>
        <w:i w:val="0"/>
        <w:sz w:val="44"/>
      </w:rPr>
    </w:lvl>
    <w:lvl w:ilvl="1" w:tentative="0">
      <w:start w:val="1"/>
      <w:numFmt w:val="decimal"/>
      <w:suff w:val="nothing"/>
      <w:lvlText w:val="%1.%2 "/>
      <w:lvlJc w:val="left"/>
      <w:pPr>
        <w:ind w:left="0" w:firstLine="0"/>
      </w:pPr>
      <w:rPr>
        <w:rFonts w:hint="default" w:ascii="Times New Roman" w:hAnsi="Times New Roman" w:eastAsia="宋体"/>
        <w:b/>
        <w:i w:val="0"/>
        <w:sz w:val="36"/>
      </w:rPr>
    </w:lvl>
    <w:lvl w:ilvl="2" w:tentative="0">
      <w:start w:val="1"/>
      <w:numFmt w:val="decimal"/>
      <w:pStyle w:val="4"/>
      <w:suff w:val="nothing"/>
      <w:lvlText w:val="%1.%2.%3 "/>
      <w:lvlJc w:val="left"/>
      <w:pPr>
        <w:ind w:left="142"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suff w:val="nothing"/>
      <w:lvlText w:val="%1.%2.%3.%4 "/>
      <w:lvlJc w:val="left"/>
      <w:pPr>
        <w:ind w:left="851" w:firstLine="0"/>
      </w:pPr>
      <w:rPr>
        <w:rFonts w:ascii="Times New Roman" w:hAnsi="Times New Roman" w:cs="Times New Roman"/>
        <w:b w:val="0"/>
        <w:bCs w:val="0"/>
        <w:i w:val="0"/>
        <w:iCs w:val="0"/>
        <w:caps w:val="0"/>
        <w:smallCaps w:val="0"/>
        <w:strike w:val="0"/>
        <w:dstrike w:val="0"/>
        <w:snapToGrid w:val="0"/>
        <w:color w:val="000000"/>
        <w:spacing w:val="0"/>
        <w:w w:val="0"/>
        <w:kern w:val="0"/>
        <w:position w:val="0"/>
        <w:sz w:val="16"/>
        <w:szCs w:val="16"/>
        <w:u w:val="none" w:color="000000"/>
        <w:shd w:val="clear" w:color="000000" w:fill="000000"/>
      </w:rPr>
    </w:lvl>
    <w:lvl w:ilvl="4" w:tentative="0">
      <w:start w:val="1"/>
      <w:numFmt w:val="decimal"/>
      <w:suff w:val="nothing"/>
      <w:lvlText w:val="%5、"/>
      <w:lvlJc w:val="left"/>
      <w:pPr>
        <w:ind w:left="540" w:firstLine="0"/>
      </w:pPr>
      <w:rPr>
        <w:rFonts w:hint="default" w:ascii="Times New Roman" w:hAnsi="Times New Roman" w:eastAsia="黑体"/>
        <w:b w:val="0"/>
        <w:i w:val="0"/>
        <w:sz w:val="28"/>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51284B83"/>
    <w:multiLevelType w:val="multilevel"/>
    <w:tmpl w:val="51284B83"/>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175032"/>
    <w:rsid w:val="000A065B"/>
    <w:rsid w:val="000D7144"/>
    <w:rsid w:val="00182CA7"/>
    <w:rsid w:val="002B7C32"/>
    <w:rsid w:val="00320F63"/>
    <w:rsid w:val="00375CC7"/>
    <w:rsid w:val="003E798D"/>
    <w:rsid w:val="00440109"/>
    <w:rsid w:val="004C1C47"/>
    <w:rsid w:val="00562DEE"/>
    <w:rsid w:val="0077133B"/>
    <w:rsid w:val="007913F5"/>
    <w:rsid w:val="00865C99"/>
    <w:rsid w:val="0088567E"/>
    <w:rsid w:val="008C63E0"/>
    <w:rsid w:val="00913F82"/>
    <w:rsid w:val="009A634F"/>
    <w:rsid w:val="009D34AC"/>
    <w:rsid w:val="00A10838"/>
    <w:rsid w:val="00B00950"/>
    <w:rsid w:val="00BE4A86"/>
    <w:rsid w:val="00E357FB"/>
    <w:rsid w:val="00F04279"/>
    <w:rsid w:val="00F11F9E"/>
    <w:rsid w:val="00FF437D"/>
    <w:rsid w:val="05B507DF"/>
    <w:rsid w:val="0B8B0309"/>
    <w:rsid w:val="1E3C59B1"/>
    <w:rsid w:val="24093551"/>
    <w:rsid w:val="27C21FD2"/>
    <w:rsid w:val="321B6DB7"/>
    <w:rsid w:val="323B0680"/>
    <w:rsid w:val="33D2746F"/>
    <w:rsid w:val="393A3A9B"/>
    <w:rsid w:val="3A8A730C"/>
    <w:rsid w:val="3BEB6FD5"/>
    <w:rsid w:val="3F9C78D7"/>
    <w:rsid w:val="463320DC"/>
    <w:rsid w:val="4A7A28EE"/>
    <w:rsid w:val="4A9839E3"/>
    <w:rsid w:val="4C175032"/>
    <w:rsid w:val="505A59D6"/>
    <w:rsid w:val="529A5D7C"/>
    <w:rsid w:val="5CA91746"/>
    <w:rsid w:val="5F2F225F"/>
    <w:rsid w:val="60872C63"/>
    <w:rsid w:val="6B582526"/>
    <w:rsid w:val="6DE93EF9"/>
    <w:rsid w:val="6E1657F3"/>
    <w:rsid w:val="6F452EEC"/>
    <w:rsid w:val="70D41EEE"/>
    <w:rsid w:val="72721AB0"/>
    <w:rsid w:val="7486676E"/>
    <w:rsid w:val="759F0EBF"/>
    <w:rsid w:val="7DA4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qFormat/>
    <w:uiPriority w:val="9"/>
    <w:pPr>
      <w:keepNext/>
      <w:keepLines/>
      <w:pageBreakBefore/>
      <w:spacing w:before="340" w:after="330" w:line="576" w:lineRule="auto"/>
      <w:jc w:val="center"/>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
    <w:pPr>
      <w:keepNext/>
      <w:keepLines/>
      <w:numPr>
        <w:ilvl w:val="2"/>
        <w:numId w:val="1"/>
      </w:numPr>
      <w:outlineLvl w:val="2"/>
    </w:pPr>
    <w:rPr>
      <w:rFonts w:eastAsia="仿宋_GB2312"/>
      <w:b/>
      <w:sz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caption"/>
    <w:basedOn w:val="1"/>
    <w:next w:val="1"/>
    <w:unhideWhenUsed/>
    <w:qFormat/>
    <w:uiPriority w:val="0"/>
    <w:rPr>
      <w:rFonts w:ascii="Arial" w:hAnsi="Arial" w:eastAsia="黑体" w:cs="Arial"/>
      <w:sz w:val="20"/>
    </w:rPr>
  </w:style>
  <w:style w:type="paragraph" w:styleId="8">
    <w:name w:val="toc 3"/>
    <w:basedOn w:val="1"/>
    <w:next w:val="1"/>
    <w:uiPriority w:val="39"/>
    <w:pPr>
      <w:ind w:left="840" w:leftChars="400"/>
    </w:pPr>
  </w:style>
  <w:style w:type="paragraph" w:styleId="9">
    <w:name w:val="Balloon Text"/>
    <w:basedOn w:val="1"/>
    <w:link w:val="20"/>
    <w:uiPriority w:val="0"/>
    <w:rPr>
      <w:sz w:val="18"/>
      <w:szCs w:val="18"/>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2"/>
    <w:basedOn w:val="1"/>
    <w:next w:val="1"/>
    <w:uiPriority w:val="39"/>
    <w:pPr>
      <w:ind w:left="420" w:leftChars="200"/>
    </w:pPr>
  </w:style>
  <w:style w:type="paragraph" w:styleId="13">
    <w:name w:val="Normal (Web)"/>
    <w:basedOn w:val="1"/>
    <w:qFormat/>
    <w:uiPriority w:val="0"/>
    <w:pPr>
      <w:spacing w:beforeAutospacing="1" w:afterAutospacing="1"/>
    </w:pPr>
  </w:style>
  <w:style w:type="character" w:styleId="16">
    <w:name w:val="Hyperlink"/>
    <w:basedOn w:val="15"/>
    <w:qFormat/>
    <w:uiPriority w:val="99"/>
    <w:rPr>
      <w:color w:val="0000FF"/>
      <w:u w:val="single"/>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0">
    <w:name w:val="批注框文本 Char"/>
    <w:basedOn w:val="15"/>
    <w:link w:val="9"/>
    <w:qFormat/>
    <w:uiPriority w:val="0"/>
    <w:rPr>
      <w:sz w:val="18"/>
      <w:szCs w:val="18"/>
    </w:rPr>
  </w:style>
  <w:style w:type="paragraph" w:customStyle="1" w:styleId="21">
    <w:name w:val="TOC Heading"/>
    <w:basedOn w:val="2"/>
    <w:next w:val="1"/>
    <w:semiHidden/>
    <w:unhideWhenUsed/>
    <w:qFormat/>
    <w:uiPriority w:val="39"/>
    <w:pPr>
      <w:pageBreakBefore w:val="0"/>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755</Words>
  <Characters>4308</Characters>
  <Lines>35</Lines>
  <Paragraphs>10</Paragraphs>
  <TotalTime>4</TotalTime>
  <ScaleCrop>false</ScaleCrop>
  <LinksUpToDate>false</LinksUpToDate>
  <CharactersWithSpaces>5053</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2019-07-12T11:24:00Z</dcterms:created>
  <dc:creator>Administrator</dc:creator>
  <cp:lastModifiedBy>浙江小子</cp:lastModifiedBy>
  <dcterms:modified xsi:type="dcterms:W3CDTF">2019-07-18T01:34:31Z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