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3" w:hRule="atLeast"/>
        </w:trPr>
        <w:tc>
          <w:tcPr>
            <w:tcW w:w="8700" w:type="dxa"/>
            <w:tcBorders>
              <w:top w:val="nil"/>
              <w:left w:val="nil"/>
              <w:bottom w:val="single" w:color="FF0000" w:sz="18" w:space="0"/>
              <w:right w:val="nil"/>
            </w:tcBorders>
            <w:noWrap w:val="0"/>
            <w:vAlign w:val="top"/>
          </w:tcPr>
          <w:p>
            <w:pPr>
              <w:spacing w:line="336" w:lineRule="auto"/>
              <w:rPr>
                <w:rFonts w:hint="eastAsia" w:ascii="仿宋_GB2312"/>
                <w:sz w:val="32"/>
                <w:szCs w:val="32"/>
              </w:rPr>
            </w:pPr>
          </w:p>
          <w:p>
            <w:pPr>
              <w:spacing w:line="336" w:lineRule="auto"/>
              <w:jc w:val="center"/>
              <w:rPr>
                <w:rFonts w:hint="eastAsia" w:ascii="仿宋_GB2312"/>
                <w:color w:val="FF0000"/>
                <w:sz w:val="18"/>
                <w:szCs w:val="18"/>
              </w:rPr>
            </w:pPr>
            <w:r>
              <w:rPr>
                <w:rFonts w:hint="eastAsia" w:ascii="仿宋_GB2312" w:eastAsia="仿宋_GB2312"/>
                <w:sz w:val="32"/>
                <w:szCs w:val="32"/>
              </w:rPr>
              <w:t>萧跑改办〔</w:t>
            </w:r>
            <w:r>
              <w:rPr>
                <w:rFonts w:ascii="仿宋_GB2312" w:eastAsia="仿宋_GB2312"/>
                <w:sz w:val="32"/>
                <w:szCs w:val="32"/>
              </w:rPr>
              <w:t>20</w:t>
            </w:r>
            <w:r>
              <w:rPr>
                <w:rFonts w:hint="eastAsia" w:ascii="仿宋_GB2312" w:eastAsia="仿宋_GB2312"/>
                <w:sz w:val="32"/>
                <w:szCs w:val="32"/>
              </w:rPr>
              <w:t>1</w:t>
            </w:r>
            <w:r>
              <w:rPr>
                <w:rFonts w:hint="eastAsia" w:ascii="仿宋_GB2312"/>
                <w:sz w:val="32"/>
                <w:szCs w:val="32"/>
                <w:lang w:val="en-US" w:eastAsia="zh-CN"/>
              </w:rPr>
              <w:t>9</w:t>
            </w:r>
            <w:r>
              <w:rPr>
                <w:rFonts w:hint="eastAsia" w:ascii="仿宋_GB2312" w:eastAsia="仿宋_GB2312"/>
                <w:sz w:val="32"/>
                <w:szCs w:val="32"/>
              </w:rPr>
              <w:t>〕</w:t>
            </w:r>
            <w:r>
              <w:rPr>
                <w:rFonts w:hint="eastAsia" w:ascii="仿宋_GB2312"/>
                <w:sz w:val="32"/>
                <w:szCs w:val="32"/>
                <w:lang w:val="en-US" w:eastAsia="zh-CN"/>
              </w:rPr>
              <w:t>9</w:t>
            </w:r>
            <w:r>
              <w:rPr>
                <w:rFonts w:hint="eastAsia" w:ascii="仿宋_GB2312" w:eastAsia="仿宋_GB2312"/>
                <w:sz w:val="32"/>
                <w:szCs w:val="32"/>
              </w:rPr>
              <w:t>号</w:t>
            </w:r>
          </w:p>
        </w:tc>
      </w:tr>
    </w:tbl>
    <w:tbl>
      <w:tblPr>
        <w:tblStyle w:val="5"/>
        <w:tblpPr w:leftFromText="180" w:rightFromText="180" w:vertAnchor="page" w:horzAnchor="margin" w:tblpY="2552"/>
        <w:tblW w:w="8680" w:type="dxa"/>
        <w:tblInd w:w="0" w:type="dxa"/>
        <w:tblLayout w:type="fixed"/>
        <w:tblCellMar>
          <w:top w:w="0" w:type="dxa"/>
          <w:left w:w="108" w:type="dxa"/>
          <w:bottom w:w="0" w:type="dxa"/>
          <w:right w:w="108" w:type="dxa"/>
        </w:tblCellMar>
      </w:tblPr>
      <w:tblGrid>
        <w:gridCol w:w="8680"/>
      </w:tblGrid>
      <w:tr>
        <w:tblPrEx>
          <w:tblLayout w:type="fixed"/>
          <w:tblCellMar>
            <w:top w:w="0" w:type="dxa"/>
            <w:left w:w="108" w:type="dxa"/>
            <w:bottom w:w="0" w:type="dxa"/>
            <w:right w:w="108" w:type="dxa"/>
          </w:tblCellMar>
        </w:tblPrEx>
        <w:trPr>
          <w:trHeight w:val="1387" w:hRule="atLeast"/>
        </w:trPr>
        <w:tc>
          <w:tcPr>
            <w:tcW w:w="8680" w:type="dxa"/>
            <w:noWrap w:val="0"/>
            <w:vAlign w:val="center"/>
          </w:tcPr>
          <w:p>
            <w:pPr>
              <w:spacing w:line="300" w:lineRule="auto"/>
              <w:jc w:val="center"/>
              <w:rPr>
                <w:rFonts w:hint="eastAsia" w:ascii="方正小标宋简体" w:eastAsia="方正小标宋简体"/>
                <w:color w:val="FF0000"/>
                <w:spacing w:val="-20"/>
                <w:w w:val="70"/>
                <w:kern w:val="0"/>
                <w:sz w:val="72"/>
                <w:szCs w:val="72"/>
              </w:rPr>
            </w:pPr>
            <w:r>
              <w:rPr>
                <w:rFonts w:hint="eastAsia" w:ascii="方正小标宋简体" w:eastAsia="方正小标宋简体"/>
                <w:color w:val="FF0000"/>
                <w:spacing w:val="-6"/>
                <w:w w:val="44"/>
                <w:kern w:val="0"/>
                <w:sz w:val="72"/>
                <w:szCs w:val="72"/>
                <w:fitText w:val="8893" w:id="0"/>
              </w:rPr>
              <w:t>杭州市萧山区全面深化“最多跑一次”改革领导小组办公室文件</w:t>
            </w: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微软雅黑" w:eastAsia="方正小标宋_GBK" w:cs="微软雅黑"/>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微软雅黑" w:eastAsia="方正小标宋_GBK" w:cs="微软雅黑"/>
          <w:sz w:val="44"/>
          <w:szCs w:val="44"/>
          <w:lang w:val="en-US" w:eastAsia="zh-CN"/>
        </w:rPr>
      </w:pPr>
      <w:r>
        <w:rPr>
          <w:rFonts w:hint="eastAsia" w:ascii="方正小标宋_GBK" w:hAnsi="微软雅黑" w:eastAsia="方正小标宋_GBK" w:cs="微软雅黑"/>
          <w:sz w:val="44"/>
          <w:szCs w:val="44"/>
          <w:lang w:val="en-US" w:eastAsia="zh-CN"/>
        </w:rPr>
        <w:t>关于印发《退役军人军龄视同养老保险缴费年限认定和退休“一件事”联办工作方案》的通知</w:t>
      </w:r>
    </w:p>
    <w:p>
      <w:pPr>
        <w:jc w:val="left"/>
        <w:rPr>
          <w:rFonts w:hint="eastAsia" w:ascii="仿宋" w:hAnsi="仿宋" w:eastAsia="仿宋" w:cs="仿宋"/>
          <w:sz w:val="32"/>
          <w:szCs w:val="32"/>
        </w:rPr>
      </w:pPr>
    </w:p>
    <w:p>
      <w:pPr>
        <w:jc w:val="left"/>
        <w:rPr>
          <w:rFonts w:hint="eastAsia" w:ascii="仿宋" w:hAnsi="仿宋" w:eastAsia="仿宋" w:cs="仿宋"/>
          <w:sz w:val="32"/>
          <w:szCs w:val="32"/>
        </w:rPr>
      </w:pPr>
      <w:r>
        <w:rPr>
          <w:rFonts w:hint="eastAsia" w:ascii="仿宋" w:hAnsi="仿宋" w:eastAsia="仿宋" w:cs="仿宋"/>
          <w:sz w:val="32"/>
          <w:szCs w:val="32"/>
        </w:rPr>
        <w:t>各有关单位：</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现将《退役军人军龄视同养老保险缴费年限认定和退休</w:t>
      </w:r>
    </w:p>
    <w:p>
      <w:pPr>
        <w:keepNext w:val="0"/>
        <w:keepLines w:val="0"/>
        <w:pageBreakBefore w:val="0"/>
        <w:widowControl w:val="0"/>
        <w:kinsoku/>
        <w:wordWrap/>
        <w:overflowPunct/>
        <w:topLinePunct w:val="0"/>
        <w:autoSpaceDE/>
        <w:autoSpaceDN/>
        <w:bidi w:val="0"/>
        <w:spacing w:line="58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“一件事”联办工作方案》印发给你们，请遵照执行。</w:t>
      </w:r>
    </w:p>
    <w:p>
      <w:pPr>
        <w:jc w:val="left"/>
        <w:rPr>
          <w:rFonts w:hint="eastAsia" w:ascii="仿宋" w:hAnsi="仿宋" w:eastAsia="仿宋" w:cs="仿宋"/>
          <w:sz w:val="32"/>
          <w:szCs w:val="32"/>
        </w:rPr>
      </w:pPr>
    </w:p>
    <w:p>
      <w:pPr>
        <w:ind w:left="1598" w:leftChars="304" w:hanging="960" w:hangingChars="300"/>
        <w:jc w:val="left"/>
        <w:rPr>
          <w:rFonts w:hint="eastAsia" w:ascii="仿宋" w:hAnsi="仿宋" w:eastAsia="仿宋" w:cs="仿宋"/>
          <w:sz w:val="32"/>
          <w:szCs w:val="32"/>
        </w:rPr>
      </w:pPr>
      <w:r>
        <w:rPr>
          <w:rFonts w:hint="eastAsia" w:ascii="仿宋" w:hAnsi="仿宋" w:eastAsia="仿宋" w:cs="仿宋"/>
          <w:sz w:val="32"/>
          <w:szCs w:val="32"/>
        </w:rPr>
        <w:t>附</w:t>
      </w:r>
      <w:r>
        <w:rPr>
          <w:rFonts w:hint="eastAsia" w:ascii="仿宋" w:hAnsi="仿宋" w:eastAsia="仿宋" w:cs="仿宋"/>
          <w:sz w:val="32"/>
          <w:szCs w:val="32"/>
          <w:lang w:eastAsia="zh-CN"/>
        </w:rPr>
        <w:t>件</w:t>
      </w:r>
      <w:r>
        <w:rPr>
          <w:rFonts w:hint="eastAsia" w:ascii="仿宋" w:hAnsi="仿宋" w:eastAsia="仿宋" w:cs="仿宋"/>
          <w:sz w:val="32"/>
          <w:szCs w:val="32"/>
          <w:lang w:val="en-US" w:eastAsia="zh-CN"/>
        </w:rPr>
        <w:t>：</w:t>
      </w:r>
      <w:r>
        <w:rPr>
          <w:rFonts w:hint="eastAsia" w:ascii="仿宋" w:hAnsi="仿宋" w:eastAsia="仿宋" w:cs="仿宋"/>
          <w:sz w:val="32"/>
          <w:szCs w:val="32"/>
        </w:rPr>
        <w:t>退役军人军龄视同养老保险缴费年限认定和退休“一件事”联办工作方案</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righ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萧山区全面深化“最多跑一次”改革领导小组办公室</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(杭州市萧山区人民政府办事服务中心代章)</w:t>
      </w:r>
    </w:p>
    <w:p>
      <w:pPr>
        <w:wordWrap w:val="0"/>
        <w:jc w:val="center"/>
        <w:rPr>
          <w:rFonts w:hint="eastAsia" w:ascii="小标宋" w:hAnsi="Times New Roman" w:eastAsia="小标宋" w:cs="Times New Roman"/>
          <w:i w:val="0"/>
          <w:iCs w:val="0"/>
          <w:spacing w:val="0"/>
          <w:sz w:val="44"/>
          <w:szCs w:val="44"/>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2019年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rPr>
        <w:t>日</w:t>
      </w:r>
    </w:p>
    <w:p>
      <w:pPr>
        <w:keepNext w:val="0"/>
        <w:keepLines w:val="0"/>
        <w:pageBreakBefore w:val="0"/>
        <w:widowControl w:val="0"/>
        <w:kinsoku/>
        <w:wordWrap/>
        <w:overflowPunct/>
        <w:topLinePunct w:val="0"/>
        <w:autoSpaceDE/>
        <w:autoSpaceDN/>
        <w:bidi w:val="0"/>
        <w:adjustRightInd w:val="0"/>
        <w:snapToGrid w:val="0"/>
        <w:spacing w:after="0" w:line="580" w:lineRule="exact"/>
        <w:jc w:val="center"/>
        <w:textAlignment w:val="auto"/>
        <w:outlineLvl w:val="9"/>
        <w:rPr>
          <w:rFonts w:hint="eastAsia" w:ascii="小标宋" w:hAnsi="Times New Roman" w:eastAsia="小标宋" w:cs="Times New Roman"/>
          <w:i w:val="0"/>
          <w:iCs w:val="0"/>
          <w:spacing w:val="0"/>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after="0" w:line="580" w:lineRule="exact"/>
        <w:jc w:val="center"/>
        <w:textAlignment w:val="auto"/>
        <w:outlineLvl w:val="9"/>
        <w:rPr>
          <w:rFonts w:hint="eastAsia" w:ascii="小标宋" w:hAnsi="Times New Roman" w:eastAsia="小标宋" w:cs="Times New Roman"/>
          <w:i w:val="0"/>
          <w:iCs w:val="0"/>
          <w:spacing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微软雅黑" w:eastAsia="方正小标宋_GBK" w:cs="微软雅黑"/>
          <w:sz w:val="44"/>
          <w:szCs w:val="44"/>
          <w:lang w:val="en-US" w:eastAsia="zh-CN"/>
        </w:rPr>
      </w:pPr>
      <w:r>
        <w:rPr>
          <w:rFonts w:hint="eastAsia" w:ascii="方正小标宋_GBK" w:hAnsi="微软雅黑" w:eastAsia="方正小标宋_GBK" w:cs="微软雅黑"/>
          <w:sz w:val="44"/>
          <w:szCs w:val="44"/>
          <w:lang w:val="en-US" w:eastAsia="zh-CN"/>
        </w:rPr>
        <w:t>退役军人军龄视同养老保险缴费年限认定和退休“一件事”联办工作方案</w:t>
      </w:r>
    </w:p>
    <w:p>
      <w:pPr>
        <w:adjustRightInd w:val="0"/>
        <w:snapToGrid w:val="0"/>
        <w:spacing w:line="600" w:lineRule="exact"/>
        <w:ind w:firstLine="640" w:firstLineChars="200"/>
        <w:rPr>
          <w:rFonts w:hint="eastAsia" w:ascii="仿宋" w:hAnsi="仿宋" w:eastAsia="仿宋" w:cs="仿宋"/>
          <w:sz w:val="32"/>
          <w:szCs w:val="32"/>
        </w:rPr>
      </w:pPr>
    </w:p>
    <w:p>
      <w:pPr>
        <w:adjustRightInd w:val="0"/>
        <w:snapToGrid w:val="0"/>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一、对象范围</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申请人范围：在萧山区办理退休手续享受养老待遇、曾经在部队服过兵役的到龄退休人员（男60周岁、女职工50周岁、女干部55周岁）、符合提前退休条件的人员和已退休人员。</w:t>
      </w:r>
    </w:p>
    <w:p>
      <w:pPr>
        <w:adjustRightInd w:val="0"/>
        <w:snapToGrid w:val="0"/>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二、办理流程</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1.申请人首次申请或者重新申请军龄视同缴费年限确认，由区军人事务局确认申请人身份，调取个人档案资料，确认军龄年限。</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2.申请人填写《军龄视同缴费年限联办核定表》（详见附表，以下简称《核定表》），一式三份，区退役军人事务局核定确认后，将《核定表》及个人档案（印证资料）转交区社保中心。</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3.区社保中心依据局委托规定，根据《核定表》和个人档案（印证资料）进行视同缴费年限的录入登记，并存档。</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4.区社保中心根据视同缴费情况调整或核定申请人相关养老待遇。</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5.区社保中心将办结人员的《核定表》一份转至区退役军人事务局存档。</w:t>
      </w:r>
    </w:p>
    <w:p>
      <w:pPr>
        <w:adjustRightInd w:val="0"/>
        <w:snapToGrid w:val="0"/>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三、表格填写</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1.申请人填写本人基本信息和联系电话并签字确认。</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2.区军人事务局审核申请人入伍和退伍时间、曾经服役的部队名称，在“审核意见栏”处签字盖章确认军龄年限。</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3.区人力社保部门在“核定意见栏”处填写视同缴费年限审批意见。</w:t>
      </w:r>
    </w:p>
    <w:p>
      <w:pPr>
        <w:adjustRightInd w:val="0"/>
        <w:snapToGrid w:val="0"/>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四、分类收件</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区退役军人事务局按申请人情况，分类收件，分别处理。</w:t>
      </w:r>
    </w:p>
    <w:p>
      <w:pPr>
        <w:adjustRightInd w:val="0"/>
        <w:snapToGrid w:val="0"/>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第一类：</w:t>
      </w:r>
      <w:r>
        <w:rPr>
          <w:rFonts w:hint="eastAsia" w:ascii="仿宋" w:hAnsi="仿宋" w:eastAsia="仿宋" w:cs="仿宋"/>
          <w:sz w:val="32"/>
          <w:szCs w:val="32"/>
        </w:rPr>
        <w:t>对军龄视同缴费年限认定有异议提出重新认定（修正）的人员。由区退役军人事务局核定其身份，确认军龄年限，填写《核定表》（表后附申请人签名），审核签章后流转至区社保中心。区社保中心根据《核定表》比对电脑系统记录情况，进行视同缴费年限修正。（注：每月15日转交一次，当月办结）</w:t>
      </w:r>
    </w:p>
    <w:p>
      <w:pPr>
        <w:adjustRightInd w:val="0"/>
        <w:snapToGrid w:val="0"/>
        <w:spacing w:line="60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第二类：</w:t>
      </w:r>
      <w:r>
        <w:rPr>
          <w:rFonts w:hint="eastAsia" w:ascii="仿宋" w:hAnsi="仿宋" w:eastAsia="仿宋" w:cs="仿宋"/>
          <w:sz w:val="32"/>
          <w:szCs w:val="32"/>
        </w:rPr>
        <w:t>未做过军龄视同缴费年限认定的申请人员。由区军人事务局审核确认其军龄，将《核定表》和个人档案，包括《应征青年入伍登记表》、《退伍军人登记表》或者《预备役士兵兵役登记表》等资料流转至区社保中心。由区社保中心按委托办理要求，录入并存档。如果是到龄退休人员，由社保中心直接办理退休手续。（注：每月15日前转交，当月办结，次月起按月享受待遇）</w:t>
      </w:r>
    </w:p>
    <w:p>
      <w:pPr>
        <w:adjustRightInd w:val="0"/>
        <w:snapToGrid w:val="0"/>
        <w:spacing w:line="600" w:lineRule="exact"/>
        <w:ind w:firstLine="643" w:firstLineChars="200"/>
        <w:rPr>
          <w:rFonts w:ascii="仿宋" w:hAnsi="仿宋" w:eastAsia="仿宋"/>
          <w:sz w:val="32"/>
          <w:szCs w:val="32"/>
        </w:rPr>
      </w:pPr>
      <w:r>
        <w:rPr>
          <w:rFonts w:hint="eastAsia" w:ascii="仿宋" w:hAnsi="仿宋" w:eastAsia="仿宋" w:cs="仿宋"/>
          <w:b/>
          <w:sz w:val="32"/>
          <w:szCs w:val="32"/>
        </w:rPr>
        <w:t>第三类：</w:t>
      </w:r>
      <w:r>
        <w:rPr>
          <w:rFonts w:hint="eastAsia" w:ascii="仿宋" w:hAnsi="仿宋" w:eastAsia="仿宋" w:cs="仿宋"/>
          <w:sz w:val="32"/>
          <w:szCs w:val="32"/>
        </w:rPr>
        <w:t>申请人档案资料缺失的。个别申请人档案资料缺失，也无法提供有效印证材料，不能视同缴费年限。</w:t>
      </w:r>
    </w:p>
    <w:p>
      <w:pPr>
        <w:adjustRightInd w:val="0"/>
        <w:snapToGrid w:val="0"/>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五、特殊情况处理</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办理过程中如发现申请人曾经被劳动人事部门招工，有被单位开除、除名、自动离职,受到刑事处分等异常情况的，或者申请人对其工龄认定有异议的，区退役军人事务局和区人力社保局及时联系沟通，并提供相关资料，按工龄认定相关规定处理。如有特殊个案，两部门相关业务科室联合讨论处理。 </w:t>
      </w:r>
    </w:p>
    <w:p>
      <w:pPr>
        <w:adjustRightInd w:val="0"/>
        <w:snapToGrid w:val="0"/>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六、政策解释</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军龄年限确认相关政策由区退役军人事务局负责解释；军龄视同缴费年限认定以及养老待遇调整相关政策由区人力社保部门负责解释。</w:t>
      </w:r>
    </w:p>
    <w:p>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color w:val="FF0000"/>
          <w:sz w:val="32"/>
          <w:szCs w:val="32"/>
        </w:rPr>
        <w:t>各单位要明确</w:t>
      </w:r>
      <w:r>
        <w:rPr>
          <w:rFonts w:hint="eastAsia" w:ascii="仿宋" w:hAnsi="仿宋" w:eastAsia="仿宋" w:cs="仿宋"/>
          <w:color w:val="FF0000"/>
          <w:sz w:val="32"/>
          <w:szCs w:val="32"/>
          <w:lang w:eastAsia="zh-CN"/>
        </w:rPr>
        <w:t>职责分工、专人负责</w:t>
      </w:r>
      <w:r>
        <w:rPr>
          <w:rFonts w:hint="eastAsia" w:ascii="仿宋" w:hAnsi="仿宋" w:eastAsia="仿宋" w:cs="仿宋"/>
          <w:color w:val="FF0000"/>
          <w:sz w:val="32"/>
          <w:szCs w:val="32"/>
        </w:rPr>
        <w:t>，</w:t>
      </w:r>
      <w:r>
        <w:rPr>
          <w:rFonts w:hint="eastAsia" w:ascii="仿宋" w:hAnsi="仿宋" w:eastAsia="仿宋" w:cs="仿宋"/>
          <w:color w:val="FF0000"/>
          <w:sz w:val="32"/>
          <w:szCs w:val="32"/>
          <w:lang w:eastAsia="zh-CN"/>
        </w:rPr>
        <w:t>加强协调</w:t>
      </w:r>
      <w:r>
        <w:rPr>
          <w:rFonts w:hint="eastAsia" w:ascii="仿宋" w:hAnsi="仿宋" w:eastAsia="仿宋" w:cs="仿宋"/>
          <w:color w:val="FF0000"/>
          <w:sz w:val="32"/>
          <w:szCs w:val="32"/>
        </w:rPr>
        <w:t>沟通，共同落实退役军人军龄视同缴费年限“一件事”联办工作。</w:t>
      </w:r>
    </w:p>
    <w:p>
      <w:pPr>
        <w:adjustRightInd w:val="0"/>
        <w:snapToGrid w:val="0"/>
        <w:spacing w:line="600" w:lineRule="exact"/>
        <w:ind w:firstLine="640" w:firstLineChars="200"/>
        <w:jc w:val="both"/>
        <w:rPr>
          <w:rFonts w:hint="eastAsia" w:ascii="仿宋" w:hAnsi="仿宋" w:eastAsia="仿宋" w:cs="仿宋"/>
          <w:sz w:val="32"/>
          <w:szCs w:val="32"/>
        </w:rPr>
      </w:pPr>
    </w:p>
    <w:p>
      <w:pPr>
        <w:adjustRightInd w:val="0"/>
        <w:snapToGrid w:val="0"/>
        <w:spacing w:line="600" w:lineRule="exact"/>
        <w:ind w:firstLine="640" w:firstLineChars="200"/>
        <w:jc w:val="both"/>
        <w:rPr>
          <w:rFonts w:hint="eastAsia" w:ascii="仿宋" w:hAnsi="仿宋" w:eastAsia="仿宋" w:cs="仿宋"/>
          <w:sz w:val="32"/>
          <w:szCs w:val="32"/>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附件</w:t>
      </w:r>
      <w:r>
        <w:rPr>
          <w:rFonts w:hint="eastAsia" w:ascii="仿宋" w:hAnsi="仿宋" w:eastAsia="仿宋" w:cs="仿宋"/>
          <w:sz w:val="32"/>
          <w:szCs w:val="32"/>
        </w:rPr>
        <w:t>：军龄视同缴费年限联办核定表</w:t>
      </w:r>
    </w:p>
    <w:p>
      <w:pPr>
        <w:bidi w:val="0"/>
        <w:rPr>
          <w:rFonts w:hint="eastAsia" w:asciiTheme="minorHAnsi" w:hAnsiTheme="minorHAnsi" w:eastAsiaTheme="minorEastAsia" w:cstheme="minorBidi"/>
          <w:kern w:val="2"/>
          <w:sz w:val="21"/>
          <w:szCs w:val="22"/>
          <w:lang w:val="en-US" w:eastAsia="zh-CN" w:bidi="ar-SA"/>
        </w:rPr>
      </w:pPr>
    </w:p>
    <w:p>
      <w:pPr>
        <w:bidi w:val="0"/>
        <w:rPr>
          <w:rFonts w:hint="eastAsia" w:ascii="仿宋" w:hAnsi="仿宋" w:eastAsia="仿宋" w:cs="仿宋"/>
          <w:sz w:val="32"/>
          <w:szCs w:val="32"/>
          <w:lang w:val="en-US" w:eastAsia="zh-CN"/>
        </w:rPr>
      </w:pPr>
    </w:p>
    <w:p>
      <w:pPr>
        <w:bidi w:val="0"/>
        <w:rPr>
          <w:rFonts w:hint="eastAsia" w:ascii="仿宋" w:hAnsi="仿宋" w:eastAsia="仿宋" w:cs="仿宋"/>
          <w:sz w:val="32"/>
          <w:szCs w:val="32"/>
          <w:lang w:val="en-US" w:eastAsia="zh-CN"/>
        </w:rPr>
      </w:pPr>
    </w:p>
    <w:p>
      <w:pPr>
        <w:bidi w:val="0"/>
        <w:rPr>
          <w:rFonts w:hint="eastAsia" w:ascii="仿宋" w:hAnsi="仿宋" w:eastAsia="仿宋" w:cs="仿宋"/>
          <w:sz w:val="32"/>
          <w:szCs w:val="32"/>
          <w:lang w:val="en-US" w:eastAsia="zh-CN"/>
        </w:rPr>
      </w:pPr>
    </w:p>
    <w:p>
      <w:pPr>
        <w:bidi w:val="0"/>
        <w:rPr>
          <w:rFonts w:hint="eastAsia" w:ascii="仿宋" w:hAnsi="仿宋" w:eastAsia="仿宋" w:cs="仿宋"/>
          <w:sz w:val="32"/>
          <w:szCs w:val="32"/>
          <w:lang w:val="en-US" w:eastAsia="zh-CN"/>
        </w:rPr>
      </w:pPr>
      <w:bookmarkStart w:id="0" w:name="_GoBack"/>
      <w:bookmarkEnd w:id="0"/>
    </w:p>
    <w:p>
      <w:pPr>
        <w:rPr>
          <w:rFonts w:hint="eastAsia"/>
          <w:lang w:val="en-US" w:eastAsia="zh-CN"/>
        </w:rPr>
      </w:pPr>
      <w:r>
        <w:rPr>
          <w:rFonts w:hint="eastAsia" w:ascii="Calibri" w:hAnsi="Calibri" w:eastAsia="宋体"/>
          <w:sz w:val="21"/>
          <w:szCs w:val="22"/>
        </w:rPr>
        <mc:AlternateContent>
          <mc:Choice Requires="wps">
            <w:drawing>
              <wp:anchor distT="0" distB="0" distL="114300" distR="114300" simplePos="0" relativeHeight="251691008" behindDoc="0" locked="0" layoutInCell="1" allowOverlap="1">
                <wp:simplePos x="0" y="0"/>
                <wp:positionH relativeFrom="column">
                  <wp:posOffset>-125095</wp:posOffset>
                </wp:positionH>
                <wp:positionV relativeFrom="paragraph">
                  <wp:posOffset>398145</wp:posOffset>
                </wp:positionV>
                <wp:extent cx="559435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559435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85pt;margin-top:31.35pt;height:0pt;width:440.5pt;z-index:251691008;mso-width-relative:page;mso-height-relative:page;" filled="f" stroked="t" coordsize="21600,21600" o:gfxdata="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17qfn1gAAAAkBAAAPAAAAAAAAAAEAIAAA&#10;ACIAAABkcnMvZG93bnJldi54bWxQSwECFAAUAAAACACHTuJAdO5owdUBAACYAwAADgAAAAAAAAAB&#10;ACAAAAAlAQAAZHJzL2Uyb0RvYy54bWxQSwUGAAAAAAYABgBZAQAAbAUAAAAA&#10;">
                <v:fill on="f" focussize="0,0"/>
                <v:stroke color="#000000" joinstyle="round"/>
                <v:imagedata o:title=""/>
                <o:lock v:ext="edit" aspectratio="f"/>
              </v:line>
            </w:pict>
          </mc:Fallback>
        </mc:AlternateContent>
      </w:r>
      <w:r>
        <w:rPr>
          <w:rFonts w:hint="eastAsia" w:ascii="Calibri" w:hAnsi="Calibri" w:eastAsia="宋体"/>
          <w:sz w:val="21"/>
          <w:szCs w:val="22"/>
        </w:rPr>
        <mc:AlternateContent>
          <mc:Choice Requires="wps">
            <w:drawing>
              <wp:anchor distT="0" distB="0" distL="114300" distR="114300" simplePos="0" relativeHeight="251689984" behindDoc="0" locked="0" layoutInCell="1" allowOverlap="1">
                <wp:simplePos x="0" y="0"/>
                <wp:positionH relativeFrom="column">
                  <wp:posOffset>-134620</wp:posOffset>
                </wp:positionH>
                <wp:positionV relativeFrom="paragraph">
                  <wp:posOffset>7620</wp:posOffset>
                </wp:positionV>
                <wp:extent cx="559435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559435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0.6pt;margin-top:0.6pt;height:0pt;width:440.5pt;z-index:251689984;mso-width-relative:page;mso-height-relative:page;" filled="f" stroked="t" coordsize="21600,21600" o:gfxdata="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H5cdQAAAAHAQAADwAAAAAAAAABACAA&#10;AAAiAAAAZHJzL2Rvd25yZXYueG1sUEsBAhQAFAAAAAgAh07iQNnz04DYAQAAmAMAAA4AAAAAAAAA&#10;AQAgAAAAIwEAAGRycy9lMm9Eb2MueG1sUEsFBgAAAAAGAAYAWQEAAG0FAAAAAA==&#10;">
                <v:fill on="f" focussize="0,0"/>
                <v:stroke color="#000000" joinstyle="round"/>
                <v:imagedata o:title=""/>
                <o:lock v:ext="edit" aspectratio="f"/>
              </v:line>
            </w:pict>
          </mc:Fallback>
        </mc:AlternateContent>
      </w:r>
      <w:r>
        <w:rPr>
          <w:rFonts w:hint="eastAsia" w:ascii="仿宋" w:hAnsi="仿宋" w:eastAsia="仿宋" w:cs="仿宋"/>
          <w:spacing w:val="-28"/>
          <w:sz w:val="28"/>
          <w:szCs w:val="28"/>
        </w:rPr>
        <w:t>杭州市萧山区全面深化“最多跑一次”改革领导小组办公室   2019年</w:t>
      </w:r>
      <w:r>
        <w:rPr>
          <w:rFonts w:hint="eastAsia" w:ascii="仿宋" w:hAnsi="仿宋" w:eastAsia="仿宋" w:cs="仿宋"/>
          <w:spacing w:val="-28"/>
          <w:sz w:val="28"/>
          <w:szCs w:val="28"/>
          <w:lang w:val="en-US" w:eastAsia="zh-CN"/>
        </w:rPr>
        <w:t>8</w:t>
      </w:r>
      <w:r>
        <w:rPr>
          <w:rFonts w:hint="eastAsia" w:ascii="仿宋" w:hAnsi="仿宋" w:eastAsia="仿宋" w:cs="仿宋"/>
          <w:spacing w:val="-28"/>
          <w:sz w:val="28"/>
          <w:szCs w:val="28"/>
        </w:rPr>
        <w:t>月</w:t>
      </w:r>
      <w:r>
        <w:rPr>
          <w:rFonts w:hint="eastAsia" w:ascii="仿宋" w:hAnsi="仿宋" w:eastAsia="仿宋" w:cs="仿宋"/>
          <w:spacing w:val="-28"/>
          <w:sz w:val="28"/>
          <w:szCs w:val="28"/>
          <w:lang w:val="en-US" w:eastAsia="zh-CN"/>
        </w:rPr>
        <w:t>1</w:t>
      </w:r>
      <w:r>
        <w:rPr>
          <w:rFonts w:hint="eastAsia" w:ascii="仿宋" w:hAnsi="仿宋" w:eastAsia="仿宋" w:cs="仿宋"/>
          <w:spacing w:val="-28"/>
          <w:sz w:val="28"/>
          <w:szCs w:val="28"/>
        </w:rPr>
        <w:t>日印发</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小标宋">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744"/>
    <w:rsid w:val="00000C8E"/>
    <w:rsid w:val="00065D7F"/>
    <w:rsid w:val="00067940"/>
    <w:rsid w:val="00072A88"/>
    <w:rsid w:val="000B04FF"/>
    <w:rsid w:val="000B580A"/>
    <w:rsid w:val="000C5E9A"/>
    <w:rsid w:val="000F2E04"/>
    <w:rsid w:val="00105603"/>
    <w:rsid w:val="00115E50"/>
    <w:rsid w:val="00135696"/>
    <w:rsid w:val="001430C9"/>
    <w:rsid w:val="0019012D"/>
    <w:rsid w:val="00195860"/>
    <w:rsid w:val="001D7297"/>
    <w:rsid w:val="001E0ED5"/>
    <w:rsid w:val="00240055"/>
    <w:rsid w:val="002461F6"/>
    <w:rsid w:val="002741BA"/>
    <w:rsid w:val="00285000"/>
    <w:rsid w:val="002C123F"/>
    <w:rsid w:val="002C4E66"/>
    <w:rsid w:val="002D1491"/>
    <w:rsid w:val="002D38FF"/>
    <w:rsid w:val="002D6015"/>
    <w:rsid w:val="00387497"/>
    <w:rsid w:val="00392171"/>
    <w:rsid w:val="003A64C2"/>
    <w:rsid w:val="003D5B4C"/>
    <w:rsid w:val="003D61A2"/>
    <w:rsid w:val="00417057"/>
    <w:rsid w:val="004363B7"/>
    <w:rsid w:val="00444AF5"/>
    <w:rsid w:val="004579AC"/>
    <w:rsid w:val="004713BD"/>
    <w:rsid w:val="004B3046"/>
    <w:rsid w:val="004E5D20"/>
    <w:rsid w:val="005003E9"/>
    <w:rsid w:val="005032B8"/>
    <w:rsid w:val="00512587"/>
    <w:rsid w:val="00557C77"/>
    <w:rsid w:val="005D7712"/>
    <w:rsid w:val="0062586E"/>
    <w:rsid w:val="006631D0"/>
    <w:rsid w:val="0067328E"/>
    <w:rsid w:val="00682050"/>
    <w:rsid w:val="00685B11"/>
    <w:rsid w:val="006F4AA9"/>
    <w:rsid w:val="00713E42"/>
    <w:rsid w:val="00721997"/>
    <w:rsid w:val="00724BF9"/>
    <w:rsid w:val="00783A53"/>
    <w:rsid w:val="007A216A"/>
    <w:rsid w:val="00813C48"/>
    <w:rsid w:val="00853EF0"/>
    <w:rsid w:val="008656E7"/>
    <w:rsid w:val="008C1348"/>
    <w:rsid w:val="008C44DE"/>
    <w:rsid w:val="008D709A"/>
    <w:rsid w:val="00915B89"/>
    <w:rsid w:val="009209C7"/>
    <w:rsid w:val="009C65A5"/>
    <w:rsid w:val="009C7454"/>
    <w:rsid w:val="00A17008"/>
    <w:rsid w:val="00A53453"/>
    <w:rsid w:val="00A53969"/>
    <w:rsid w:val="00A544F9"/>
    <w:rsid w:val="00A65BB5"/>
    <w:rsid w:val="00A66FEE"/>
    <w:rsid w:val="00AA6826"/>
    <w:rsid w:val="00AA71D6"/>
    <w:rsid w:val="00AC7CAD"/>
    <w:rsid w:val="00AE69A3"/>
    <w:rsid w:val="00AF3381"/>
    <w:rsid w:val="00B536EC"/>
    <w:rsid w:val="00B96744"/>
    <w:rsid w:val="00BB35D0"/>
    <w:rsid w:val="00BD2133"/>
    <w:rsid w:val="00BD2820"/>
    <w:rsid w:val="00C11EDA"/>
    <w:rsid w:val="00C36CD1"/>
    <w:rsid w:val="00C64760"/>
    <w:rsid w:val="00C73D8F"/>
    <w:rsid w:val="00C816A0"/>
    <w:rsid w:val="00C86B03"/>
    <w:rsid w:val="00CA137E"/>
    <w:rsid w:val="00CD2B3D"/>
    <w:rsid w:val="00CF6A89"/>
    <w:rsid w:val="00D1684E"/>
    <w:rsid w:val="00D2133F"/>
    <w:rsid w:val="00D2579E"/>
    <w:rsid w:val="00D43B15"/>
    <w:rsid w:val="00D52E78"/>
    <w:rsid w:val="00D755E5"/>
    <w:rsid w:val="00D97CFC"/>
    <w:rsid w:val="00DA2F62"/>
    <w:rsid w:val="00DF7A9E"/>
    <w:rsid w:val="00E03FA8"/>
    <w:rsid w:val="00E46066"/>
    <w:rsid w:val="00E50D74"/>
    <w:rsid w:val="00E7531D"/>
    <w:rsid w:val="00EA7C6B"/>
    <w:rsid w:val="00EB35C4"/>
    <w:rsid w:val="00EB4D62"/>
    <w:rsid w:val="00EE6DC4"/>
    <w:rsid w:val="00F02A74"/>
    <w:rsid w:val="00F20CB0"/>
    <w:rsid w:val="00F34727"/>
    <w:rsid w:val="00F46126"/>
    <w:rsid w:val="00F94029"/>
    <w:rsid w:val="00FF423F"/>
    <w:rsid w:val="1E6C0968"/>
    <w:rsid w:val="32751228"/>
    <w:rsid w:val="37403F70"/>
    <w:rsid w:val="38A01F35"/>
    <w:rsid w:val="3BD13CA2"/>
    <w:rsid w:val="451121F4"/>
    <w:rsid w:val="5B956901"/>
    <w:rsid w:val="79EE1D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96BF98-A22E-4BB5-A5D3-9E5AC92F9E6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219</Words>
  <Characters>1249</Characters>
  <Lines>10</Lines>
  <Paragraphs>2</Paragraphs>
  <TotalTime>8</TotalTime>
  <ScaleCrop>false</ScaleCrop>
  <LinksUpToDate>false</LinksUpToDate>
  <CharactersWithSpaces>1466</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2019-07-17T09:50:00Z</dcterms:created>
  <dc:creator>lenovo</dc:creator>
  <cp:lastModifiedBy>小耳朵</cp:lastModifiedBy>
  <cp:lastPrinted>2019-07-17T01:08:00Z</cp:lastPrinted>
  <dcterms:modified xsi:type="dcterms:W3CDTF">2019-08-01T06:26:27Z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