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pacing w:val="0"/>
          <w:sz w:val="44"/>
          <w:szCs w:val="44"/>
        </w:rPr>
        <w:t>关于</w:t>
      </w:r>
      <w:r>
        <w:rPr>
          <w:rFonts w:hint="eastAsia" w:ascii="方正小标宋_GBK" w:hAnsi="Times New Roman" w:eastAsia="方正小标宋_GBK" w:cs="Times New Roman"/>
          <w:spacing w:val="0"/>
          <w:sz w:val="44"/>
          <w:szCs w:val="44"/>
          <w:lang w:val="en-US" w:eastAsia="zh-CN"/>
        </w:rPr>
        <w:t>召开不动产相关一件事联办工作会议的通知</w:t>
      </w:r>
    </w:p>
    <w:bookmarkEnd w:id="0"/>
    <w:p>
      <w:pPr>
        <w:widowControl/>
        <w:spacing w:line="560" w:lineRule="atLeas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560" w:lineRule="atLeas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各相关单位：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市的要求和区委、区政府的统一部署，为贯彻执行《萧山区群众和企业“一件事”改革实施方案》文件要求，大力推进群众和企业眼里的一件事，顺利完成由规划和自然资源局牵头的“二手房办理不动产证及电水气视联动过户”、“企业不动产交易登记”的“一件事”考核任务，确保改革落实到位，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经研究决定召开改革相关部门工作会议。现将有关事项通知如下： </w:t>
      </w:r>
    </w:p>
    <w:p>
      <w:pPr>
        <w:widowControl/>
        <w:spacing w:line="560" w:lineRule="atLeast"/>
        <w:ind w:firstLine="645"/>
        <w:jc w:val="left"/>
        <w:rPr>
          <w:rFonts w:ascii="宋体" w:hAnsi="宋体" w:eastAsia="宋体" w:cs="宋体"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111111"/>
          <w:kern w:val="0"/>
          <w:sz w:val="32"/>
          <w:szCs w:val="32"/>
        </w:rPr>
        <w:t>一、时间地点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2019年7月4日（星期四）下午2:00点，在萧山区区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>科创中心B座714会议室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召开，会期半天。 </w:t>
      </w:r>
    </w:p>
    <w:p>
      <w:pPr>
        <w:widowControl/>
        <w:spacing w:line="560" w:lineRule="atLeast"/>
        <w:ind w:firstLine="645"/>
        <w:jc w:val="left"/>
        <w:rPr>
          <w:rFonts w:hint="eastAsia" w:ascii="黑体" w:hAnsi="黑体" w:eastAsia="黑体" w:cs="宋体"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111111"/>
          <w:kern w:val="0"/>
          <w:sz w:val="32"/>
          <w:szCs w:val="32"/>
        </w:rPr>
        <w:t>二、参会人员 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区跑改办、区不动产登记服务中心、区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住建局（房管）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、区税务局、区环境集团、国家电网萧山区公司、新奥燃气公司、中燃燃气公司分管负责人及信息科技术人员； </w:t>
      </w:r>
    </w:p>
    <w:p>
      <w:pPr>
        <w:widowControl/>
        <w:spacing w:line="560" w:lineRule="atLeast"/>
        <w:ind w:firstLine="645"/>
        <w:jc w:val="left"/>
        <w:rPr>
          <w:rFonts w:hint="eastAsia" w:ascii="黑体" w:hAnsi="黑体" w:eastAsia="黑体" w:cs="宋体"/>
          <w:color w:val="11111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111111"/>
          <w:kern w:val="0"/>
          <w:sz w:val="32"/>
          <w:szCs w:val="32"/>
        </w:rPr>
        <w:t>三、会议内容 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各相关部门商讨如何顺利实现“一件事”相关事宜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 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联系人：孔伟芳，电话：82899723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 xml:space="preserve">             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700" w:lineRule="exact"/>
        <w:ind w:left="0" w:lef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7754"/>
    <w:rsid w:val="4D277754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小耳朵</dc:creator>
  <cp:lastModifiedBy>小耳朵</cp:lastModifiedBy>
  <dcterms:modified xsi:type="dcterms:W3CDTF">2019-07-04T01:42:52Z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