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spacing w:line="58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关于召开“最多跑一次”改革</w:t>
      </w:r>
    </w:p>
    <w:p>
      <w:pPr>
        <w:spacing w:line="58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“实现率”“满意率”整改提升专题会议的通知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为有效提升我区“最多跑一次”改革“实现率”和“满意率”，针对2019年我区第二次“两率”测评结果，决定召开“两率”整改提升专题会议，现将相关事项通知如下：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7月17日（周三）上午9点,区办事服务中心（市心中路1069号）524会议室。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1.区委改革攻坚行动督查组全体成员；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2.区跑改办相关负责人；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3.市规划与自然资源局萧山分局、区农业农村局、区公安分局、区人社局、医保萧山分局、区税务局、区市场监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管局、区卫健局、中国联通萧山分公司（用网）</w:t>
      </w:r>
      <w:r>
        <w:rPr>
          <w:rFonts w:hint="eastAsia" w:ascii="仿宋" w:hAnsi="仿宋" w:eastAsia="仿宋" w:cs="仿宋"/>
          <w:bCs/>
          <w:sz w:val="32"/>
          <w:szCs w:val="32"/>
        </w:rPr>
        <w:t>分管领导。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1.区跑改办通报2019年第二次“最多跑一次”改革“实现率”“满意率”测评结果，传达区委主要领导批示要求。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2.各部门针对2019年我区第二次“最多跑一次”改革“实现率”“满意率”低于各自全市同领域整体水平或全区平均水平的情况，汇报存在问题及整改措施。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3.区委改革攻坚行动督查组负责人讲话。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请各汇报单位准备6份书面汇报材料带至会场分发。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8" w:leftChars="304" w:hanging="2560" w:hangingChars="8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2019年7月12日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21B1E"/>
    <w:rsid w:val="15171101"/>
    <w:rsid w:val="4B721B1E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512</Characters>
  <Lines>0</Lines>
  <Paragraphs>0</Paragraphs>
  <TotalTime>2</TotalTime>
  <ScaleCrop>false</ScaleCrop>
  <LinksUpToDate>false</LinksUpToDate>
  <CharactersWithSpaces>512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2019-07-12T07:34:00Z</dcterms:created>
  <dc:creator>小耳朵</dc:creator>
  <cp:lastModifiedBy>小耳朵</cp:lastModifiedBy>
  <dcterms:modified xsi:type="dcterms:W3CDTF">2019-07-12T07:38:39Z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