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8700" w:type="dxa"/>
            <w:tcBorders>
              <w:top w:val="nil"/>
              <w:left w:val="nil"/>
              <w:bottom w:val="single" w:color="FF0000" w:sz="18" w:space="0"/>
              <w:right w:val="nil"/>
            </w:tcBorders>
            <w:vAlign w:val="top"/>
          </w:tcPr>
          <w:p>
            <w:pPr>
              <w:spacing w:line="336" w:lineRule="auto"/>
              <w:rPr>
                <w:rFonts w:hint="eastAsia" w:ascii="仿宋_GB2312"/>
                <w:sz w:val="32"/>
                <w:szCs w:val="32"/>
              </w:rPr>
            </w:pPr>
          </w:p>
          <w:p>
            <w:pPr>
              <w:spacing w:line="336" w:lineRule="auto"/>
              <w:jc w:val="center"/>
              <w:rPr>
                <w:rFonts w:hint="eastAsia" w:ascii="仿宋_GB2312"/>
                <w:color w:val="FF0000"/>
                <w:sz w:val="18"/>
                <w:szCs w:val="18"/>
              </w:rPr>
            </w:pPr>
            <w:r>
              <w:rPr>
                <w:rFonts w:hint="eastAsia" w:ascii="仿宋_GB2312" w:eastAsia="仿宋_GB2312"/>
                <w:sz w:val="32"/>
                <w:szCs w:val="32"/>
              </w:rPr>
              <w:t>萧跑改办〔</w:t>
            </w:r>
            <w:r>
              <w:rPr>
                <w:rFonts w:ascii="仿宋_GB2312" w:eastAsia="仿宋_GB2312"/>
                <w:sz w:val="32"/>
                <w:szCs w:val="32"/>
              </w:rPr>
              <w:t>20</w:t>
            </w:r>
            <w:r>
              <w:rPr>
                <w:rFonts w:hint="eastAsia" w:ascii="仿宋_GB2312" w:eastAsia="仿宋_GB2312"/>
                <w:sz w:val="32"/>
                <w:szCs w:val="32"/>
              </w:rPr>
              <w:t>1</w:t>
            </w:r>
            <w:r>
              <w:rPr>
                <w:rFonts w:hint="eastAsia" w:ascii="仿宋_GB2312"/>
                <w:sz w:val="32"/>
                <w:szCs w:val="32"/>
                <w:lang w:val="en-US" w:eastAsia="zh-CN"/>
              </w:rPr>
              <w:t>9</w:t>
            </w:r>
            <w:r>
              <w:rPr>
                <w:rFonts w:hint="eastAsia" w:ascii="仿宋_GB2312" w:eastAsia="仿宋_GB2312"/>
                <w:sz w:val="32"/>
                <w:szCs w:val="32"/>
              </w:rPr>
              <w:t>〕</w:t>
            </w:r>
            <w:r>
              <w:rPr>
                <w:rFonts w:hint="eastAsia" w:ascii="仿宋_GB2312"/>
                <w:sz w:val="32"/>
                <w:szCs w:val="32"/>
                <w:lang w:val="en-US" w:eastAsia="zh-CN"/>
              </w:rPr>
              <w:t>4</w:t>
            </w:r>
            <w:r>
              <w:rPr>
                <w:rFonts w:hint="eastAsia" w:ascii="仿宋_GB2312" w:eastAsia="仿宋_GB2312"/>
                <w:sz w:val="32"/>
                <w:szCs w:val="32"/>
              </w:rPr>
              <w:t>号</w:t>
            </w:r>
          </w:p>
        </w:tc>
      </w:tr>
    </w:tbl>
    <w:tbl>
      <w:tblPr>
        <w:tblStyle w:val="4"/>
        <w:tblpPr w:leftFromText="180" w:rightFromText="180" w:vertAnchor="page" w:horzAnchor="margin" w:tblpY="2552"/>
        <w:tblW w:w="8680" w:type="dxa"/>
        <w:tblInd w:w="0" w:type="dxa"/>
        <w:tblLayout w:type="fixed"/>
        <w:tblCellMar>
          <w:top w:w="0" w:type="dxa"/>
          <w:left w:w="108" w:type="dxa"/>
          <w:bottom w:w="0" w:type="dxa"/>
          <w:right w:w="108" w:type="dxa"/>
        </w:tblCellMar>
      </w:tblPr>
      <w:tblGrid>
        <w:gridCol w:w="8680"/>
      </w:tblGrid>
      <w:tr>
        <w:tblPrEx>
          <w:tblLayout w:type="fixed"/>
          <w:tblCellMar>
            <w:top w:w="0" w:type="dxa"/>
            <w:left w:w="108" w:type="dxa"/>
            <w:bottom w:w="0" w:type="dxa"/>
            <w:right w:w="108" w:type="dxa"/>
          </w:tblCellMar>
        </w:tblPrEx>
        <w:trPr>
          <w:trHeight w:val="1387" w:hRule="atLeast"/>
        </w:trPr>
        <w:tc>
          <w:tcPr>
            <w:tcW w:w="8680" w:type="dxa"/>
            <w:vAlign w:val="center"/>
          </w:tcPr>
          <w:p>
            <w:pPr>
              <w:spacing w:line="300" w:lineRule="auto"/>
              <w:jc w:val="center"/>
              <w:rPr>
                <w:rFonts w:hint="eastAsia" w:ascii="方正小标宋简体" w:eastAsia="方正小标宋简体"/>
                <w:color w:val="FF0000"/>
                <w:spacing w:val="-20"/>
                <w:w w:val="70"/>
                <w:kern w:val="0"/>
                <w:sz w:val="72"/>
                <w:szCs w:val="72"/>
              </w:rPr>
            </w:pPr>
            <w:r>
              <w:rPr>
                <w:rFonts w:hint="eastAsia" w:ascii="方正小标宋简体" w:eastAsia="方正小标宋简体"/>
                <w:color w:val="FF0000"/>
                <w:spacing w:val="-6"/>
                <w:w w:val="44"/>
                <w:kern w:val="0"/>
                <w:sz w:val="72"/>
                <w:szCs w:val="72"/>
                <w:fitText w:val="8893" w:id="0"/>
              </w:rPr>
              <w:t>杭州市萧山区全面深化“最多跑一次”改革领导小组办公室文件</w:t>
            </w:r>
          </w:p>
        </w:tc>
      </w:tr>
    </w:tbl>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关于印发《萧山区优化企业开办全流程</w:t>
      </w: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“一件事”一日办结工作方案》的通知</w:t>
      </w:r>
    </w:p>
    <w:p>
      <w:pPr>
        <w:keepNext w:val="0"/>
        <w:keepLines w:val="0"/>
        <w:pageBreakBefore w:val="0"/>
        <w:widowControl w:val="0"/>
        <w:kinsoku/>
        <w:wordWrap/>
        <w:overflowPunct/>
        <w:topLinePunct w:val="0"/>
        <w:autoSpaceDE/>
        <w:autoSpaceDN/>
        <w:bidi w:val="0"/>
        <w:spacing w:line="580" w:lineRule="exac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各有关单位：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现将《萧山区优化企业开办全流程“一件事”一日办结工作方案》印发给你们，请遵照执行。</w:t>
      </w:r>
    </w:p>
    <w:p>
      <w:pPr>
        <w:keepNext w:val="0"/>
        <w:keepLines w:val="0"/>
        <w:pageBreakBefore w:val="0"/>
        <w:widowControl w:val="0"/>
        <w:kinsoku/>
        <w:wordWrap/>
        <w:overflowPunct/>
        <w:topLinePunct w:val="0"/>
        <w:autoSpaceDE/>
        <w:autoSpaceDN/>
        <w:bidi w:val="0"/>
        <w:spacing w:line="580" w:lineRule="exact"/>
        <w:ind w:right="1264"/>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spacing w:line="580" w:lineRule="exact"/>
        <w:ind w:right="1264"/>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萧山区全面深化“最多跑一次”改革领导小组办公室</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(杭州市萧山区人民政府办事服务中心代章)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2019年4月</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日</w:t>
      </w: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jc w:val="both"/>
        <w:textAlignment w:val="auto"/>
        <w:outlineLvl w:val="9"/>
        <w:rPr>
          <w:rFonts w:hint="eastAsia" w:ascii="小标宋" w:hAnsi="Times New Roman" w:eastAsia="小标宋"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萧山区优化企业开办全流程“一件事”</w:t>
      </w: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一日办结工作方案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纵深推进“最多跑一次”改革，进一步优化营商环境，根据车俊书记在《领跑者》第一期（《南湖区企业开办全流程“一件事”一日办结》）上的重要批示精神和《杭州市进一步深化“压缩企业开办时间”改革工作方案》要求，结合我区实际，特制定本工作方案。本方案所指企业开办是指除涉及前置审批等特殊情形外的常态化企业开办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按照“跑一次是底线，一次不用跑成为常态、跑多次是例外”的要求，按照“线上保障、实体整合、流程再造、常态压缩”的原则，加快建立企业开办“一门进出、一窗受理、一套材料、一次采集、一网通办、一日办结”服务模式，将企业开办过程中的企业设立登记、公章刻制、税务发票申领、税控设备发放和银行账户开户各环节按照“一件事”的标准整合为一体，实现全流程合计压缩至一个工作日（8个工作小时）内办结，全部申请材料合计压缩至7件以内，办理环节压缩至4个以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线下坚持“无差别受理”和“一窗通办”，市场监管、税务、税控设备服务单位及各相关单位集中进驻行政服务中心，部署设立“常态化企业开办专窗”，强化各企业开办业务环节整合，实现“一窗受理、并联办理”，增强企业办事整体体验，力争使我区营商环境排在全国前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线上坚持“一网通办”，依托“浙江省工商全程电子化登记平台”，及时接入“企业开办全程网上办平台”，优化萧山“一窗受理平台”，最终实现企业开办全程网上办，推广无纸化全程“零见面”审批改革。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二、职责分工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萧山区“优化企业开办全流程一件事一日办结”改革由区市场监管局牵头</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会同</w:t>
      </w:r>
      <w:r>
        <w:rPr>
          <w:rFonts w:hint="eastAsia" w:ascii="仿宋" w:hAnsi="仿宋" w:eastAsia="仿宋" w:cs="仿宋"/>
          <w:color w:val="000000"/>
          <w:sz w:val="32"/>
          <w:szCs w:val="32"/>
          <w:lang w:eastAsia="zh-CN"/>
        </w:rPr>
        <w:t>区办事服务中心、</w:t>
      </w:r>
      <w:r>
        <w:rPr>
          <w:rFonts w:hint="eastAsia" w:ascii="仿宋" w:hAnsi="仿宋" w:eastAsia="仿宋" w:cs="仿宋"/>
          <w:color w:val="000000"/>
          <w:sz w:val="32"/>
          <w:szCs w:val="32"/>
        </w:rPr>
        <w:t>区公安分局、区税务局、人民银行萧山支行、区人社局、区信息中心等部门，按照统一标准，规范流程，通力协作，提高企业开办便利度。将企业开办全流程按“一件事”标准确定为4个环节，通过企业设立登记后，各有关单位并联办理的模式，分别进行优化提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环节1：企业设立登记（除分立新设、合并新设）。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企业名称实行自主申报，与企业登记合并整合为1个环节。对网上申报通过，申请材料齐全、符合法定形式的企业登记申请予以当场收件，并自正式收件起1小时内完成审批办结，申请材料常态化压缩到5件。（责任单位：区市场监管局，完成时间：2019年4月底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环节2：公章刻制领取。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将“公章刻制备案”纳入多证合一，在营业执照审批完成后进行数据采集，公章刻制申请材料通过内部信息共享，实现“零材料”申请。（责任单位：区公安分局，完成时间：2019年4月底前）以政府公开招标的方式，将6家自愿申请并承诺服务标准的公章刻制的单位纳入专窗平台管理，以政府免费制发、公章刻制单位限时送章上门的方式，实现照章同步、公章刻制零材料，自营业执照审批完成后1小时内完成公章、法人章、财务专用章刻制，并由公章刻制单位限时送章上门。（责任单位：</w:t>
      </w:r>
      <w:r>
        <w:rPr>
          <w:rFonts w:hint="eastAsia" w:ascii="仿宋" w:hAnsi="仿宋" w:eastAsia="仿宋" w:cs="仿宋"/>
          <w:color w:val="000000"/>
          <w:sz w:val="32"/>
          <w:szCs w:val="32"/>
          <w:lang w:eastAsia="zh-CN"/>
        </w:rPr>
        <w:t>区公安分局、</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办事服务中心</w:t>
      </w:r>
      <w:r>
        <w:rPr>
          <w:rFonts w:hint="eastAsia" w:ascii="仿宋" w:hAnsi="仿宋" w:eastAsia="仿宋" w:cs="仿宋"/>
          <w:color w:val="000000"/>
          <w:sz w:val="32"/>
          <w:szCs w:val="32"/>
        </w:rPr>
        <w:t>，完成时间：2019年4月底前）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环节3：发票申领及税控设备发放。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“新办企业首次申领发票”业务进驻中心，实现发票当场申领。再造优化业务环节流程，将发票申领业务</w:t>
      </w:r>
      <w:r>
        <w:rPr>
          <w:rFonts w:hint="eastAsia" w:ascii="仿宋" w:hAnsi="仿宋" w:eastAsia="仿宋" w:cs="仿宋"/>
          <w:color w:val="000000"/>
          <w:sz w:val="32"/>
          <w:szCs w:val="32"/>
          <w:lang w:eastAsia="zh-CN"/>
        </w:rPr>
        <w:t>从</w:t>
      </w:r>
      <w:r>
        <w:rPr>
          <w:rFonts w:hint="eastAsia" w:ascii="仿宋" w:hAnsi="仿宋" w:eastAsia="仿宋" w:cs="仿宋"/>
          <w:color w:val="000000"/>
          <w:sz w:val="32"/>
          <w:szCs w:val="32"/>
        </w:rPr>
        <w:t>监管性工作、涉税服务环节中分离，免留发票专用章印模、免填单，申请材料常态化压缩到0件，将税控设备发放业务并入中心，自受理起2个小时内完成增值税一般纳税人登记、最高开票限额认定、税种核定、票种确认、法定代表人实名认证，发票随营业执照统一流转，一窗出件；及时根据全省统一部署，推行网上实名采集、远程实名认证，实现“一次认证，全网通行”。（责任单位：国家税务局萧山区分局，完成时间：2019年4月底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环节4：银行开户环节。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落实企业银行账户开户许可改备案制度，实现企业账户开立之日起可收付，在风险可控前提下，采取优化远程影像业务处理，原件校验免收纸质件等举措。简化优化开户尽职调查流程和开户申请材料，共享材料由商业银行自行通过内部流转留存，并在材料上加盖“该材料系部门共享获取”章。确定“银行开户”业务商业银行清单，清单内商业银行自营业执照审批完成后2小时内完成基本存款账户开立，实现开户当日可收付。接入银行开户预约平台，确定“开户预约”商业银行清单，允许申请人自行选择清单内商业银行的任意网点预约银行开户。（责任单位：人行萧山支行，完成时间：2019年4月底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企业参保登记：</w:t>
      </w:r>
      <w:r>
        <w:rPr>
          <w:rFonts w:hint="eastAsia" w:ascii="仿宋" w:hAnsi="仿宋" w:eastAsia="仿宋" w:cs="仿宋"/>
          <w:color w:val="000000"/>
          <w:sz w:val="32"/>
          <w:szCs w:val="32"/>
        </w:rPr>
        <w:t>社保登记纳入五证合一，办理营业执照时一并进行数据登记采集，无需企业单独申请，不单独计算环节。企业参保登记在人社部门收到共享企业参保信息后即完成，实现0材料。（责任单位：区人社局，完成时间：2019年4月底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三、流程安排及工作举措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原企业开办完成需要跑市场监管、税务、公章刻制、银行四个部门，按“一件事”要求对流程调整后，企业开办各环节实现“一窗受理、一套材料、一次采集、一网通办、一日办结”。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1.流程安排。</w:t>
      </w:r>
      <w:r>
        <w:rPr>
          <w:rFonts w:hint="eastAsia" w:ascii="仿宋" w:hAnsi="仿宋" w:eastAsia="仿宋" w:cs="仿宋"/>
          <w:color w:val="000000"/>
          <w:sz w:val="32"/>
          <w:szCs w:val="32"/>
        </w:rPr>
        <w:t>针对企业开办的不同需求，设置可供其自主选择的多种服务套餐，包括二合一（营业执照+公章）、三合一（A套餐:营业执照+公章+发票；B套餐：营业执照+公章+银行开户；C套餐：营业执照+公章+银行预约开户）、四合一（A套餐：营业执照+公章+发票+银行开户；B套餐：营业执照+公章+发票+银行开户预约）等三大类，窗口工作人员根据企业选择的套餐内容一次性收齐材料，并将信息推送到税务部门、银行、公章刻制单位，上述单位在规定时间内完成审批后将办结资料返回受理窗口，由专窗将办结的营业执照、公章、发票、银行开户资料统一发放至企业手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2.办结时限。</w:t>
      </w:r>
      <w:r>
        <w:rPr>
          <w:rFonts w:hint="eastAsia" w:ascii="仿宋" w:hAnsi="仿宋" w:eastAsia="仿宋" w:cs="仿宋"/>
          <w:color w:val="000000"/>
          <w:sz w:val="32"/>
          <w:szCs w:val="32"/>
        </w:rPr>
        <w:t>“二合一”流程办理时效力争控制在2小时内，“三合一”、“四合一”服务套餐的办理时效力争控制在4小时之内；全流程不得超过8个工作小时。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3.窗口及人员设置。</w:t>
      </w:r>
      <w:r>
        <w:rPr>
          <w:rFonts w:hint="eastAsia" w:ascii="仿宋" w:hAnsi="仿宋" w:eastAsia="仿宋" w:cs="仿宋"/>
          <w:color w:val="000000"/>
          <w:sz w:val="32"/>
          <w:szCs w:val="32"/>
        </w:rPr>
        <w:t>实现企业开办所有环节形成一个“专窗”，将现有“无差别受理”窗口与“企业开办专窗（无需实名认证）”有机结合，负责“二合一”流程及“三合一流程”中无需实名认证业务（C套餐）；拟设置“企业开办专窗（需实名认证）”4个，负责“三合一”套餐中需实名认证业务（A、B套餐）和“四合一”套餐。专窗由区</w:t>
      </w:r>
      <w:r>
        <w:rPr>
          <w:rFonts w:hint="eastAsia" w:ascii="仿宋" w:hAnsi="仿宋" w:eastAsia="仿宋" w:cs="仿宋"/>
          <w:color w:val="000000"/>
          <w:sz w:val="32"/>
          <w:szCs w:val="32"/>
          <w:lang w:eastAsia="zh-CN"/>
        </w:rPr>
        <w:t>办事服务</w:t>
      </w:r>
      <w:r>
        <w:rPr>
          <w:rFonts w:hint="eastAsia" w:ascii="仿宋" w:hAnsi="仿宋" w:eastAsia="仿宋" w:cs="仿宋"/>
          <w:color w:val="000000"/>
          <w:sz w:val="32"/>
          <w:szCs w:val="32"/>
        </w:rPr>
        <w:t>中心及各入驻部门根据工作量，配备好足量业务能力专精的工作人员。（责任单位：区办事服务中心、各入驻单位，完成时间：2019年</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月底前）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4.强化咨询导办力量。</w:t>
      </w:r>
      <w:r>
        <w:rPr>
          <w:rFonts w:hint="eastAsia" w:ascii="仿宋" w:hAnsi="仿宋" w:eastAsia="仿宋" w:cs="仿宋"/>
          <w:color w:val="000000"/>
          <w:sz w:val="32"/>
          <w:szCs w:val="32"/>
          <w:lang w:eastAsia="zh-CN"/>
        </w:rPr>
        <w:t>由区市场监管局牵头负责做好咨询引导岗位的需求梳理、流程设计、业务培训和指导，区办事服务中心</w:t>
      </w:r>
      <w:r>
        <w:rPr>
          <w:rFonts w:hint="eastAsia" w:ascii="仿宋" w:hAnsi="仿宋" w:eastAsia="仿宋" w:cs="仿宋"/>
          <w:color w:val="000000"/>
          <w:sz w:val="32"/>
          <w:szCs w:val="32"/>
        </w:rPr>
        <w:t>无差别受理咨询导办</w:t>
      </w:r>
      <w:r>
        <w:rPr>
          <w:rFonts w:hint="eastAsia" w:ascii="仿宋" w:hAnsi="仿宋" w:eastAsia="仿宋" w:cs="仿宋"/>
          <w:color w:val="000000"/>
          <w:sz w:val="32"/>
          <w:szCs w:val="32"/>
          <w:lang w:eastAsia="zh-CN"/>
        </w:rPr>
        <w:t>在区市场监管局的指导下</w:t>
      </w:r>
      <w:r>
        <w:rPr>
          <w:rFonts w:hint="eastAsia" w:ascii="仿宋" w:hAnsi="仿宋" w:eastAsia="仿宋" w:cs="仿宋"/>
          <w:color w:val="000000"/>
          <w:sz w:val="32"/>
          <w:szCs w:val="32"/>
        </w:rPr>
        <w:t>做好前期咨询，导办帮办，表单发放，人员引导等延伸服务，提升全流程办件流畅度，增强企业满意感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获得感，增强办事体验感。（责任单位：</w:t>
      </w:r>
      <w:r>
        <w:rPr>
          <w:rFonts w:hint="eastAsia" w:ascii="仿宋" w:hAnsi="仿宋" w:eastAsia="仿宋" w:cs="仿宋"/>
          <w:color w:val="000000"/>
          <w:sz w:val="32"/>
          <w:szCs w:val="32"/>
          <w:lang w:eastAsia="zh-CN"/>
        </w:rPr>
        <w:t>区市场监管局、</w:t>
      </w:r>
      <w:r>
        <w:rPr>
          <w:rFonts w:hint="eastAsia" w:ascii="仿宋" w:hAnsi="仿宋" w:eastAsia="仿宋" w:cs="仿宋"/>
          <w:color w:val="000000"/>
          <w:sz w:val="32"/>
          <w:szCs w:val="32"/>
        </w:rPr>
        <w:t>区办事服务中心，完成时间：2019年4月底前）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5.软件支撑。</w:t>
      </w:r>
      <w:r>
        <w:rPr>
          <w:rFonts w:hint="eastAsia" w:ascii="仿宋" w:hAnsi="仿宋" w:eastAsia="仿宋" w:cs="仿宋"/>
          <w:color w:val="000000"/>
          <w:sz w:val="32"/>
          <w:szCs w:val="32"/>
        </w:rPr>
        <w:t>由区信息中心牵头</w:t>
      </w:r>
      <w:r>
        <w:rPr>
          <w:rFonts w:hint="eastAsia" w:ascii="仿宋" w:hAnsi="仿宋" w:eastAsia="仿宋" w:cs="仿宋"/>
          <w:color w:val="000000"/>
          <w:sz w:val="32"/>
          <w:szCs w:val="32"/>
          <w:lang w:eastAsia="zh-CN"/>
        </w:rPr>
        <w:t>，区市场监管局</w:t>
      </w:r>
      <w:r>
        <w:rPr>
          <w:rFonts w:hint="eastAsia" w:ascii="仿宋" w:hAnsi="仿宋" w:eastAsia="仿宋" w:cs="仿宋"/>
          <w:color w:val="000000"/>
          <w:sz w:val="32"/>
          <w:szCs w:val="32"/>
        </w:rPr>
        <w:t>根据各部门审批及流转需求，开发流转提醒系统，增加“企业开办全流程一件事情”功能，开通短信提醒业务，告知业务办理进程，实现企业开办全流程“一件事”一日办结全流程可量化、可监控、可知晓、可追溯，实现全流程网上闭环管理。（责任单位：区信息中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完成时间：2019年4月底前）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6.硬件保障。</w:t>
      </w:r>
      <w:r>
        <w:rPr>
          <w:rFonts w:hint="eastAsia" w:ascii="仿宋" w:hAnsi="仿宋" w:eastAsia="仿宋" w:cs="仿宋"/>
          <w:color w:val="000000"/>
          <w:sz w:val="32"/>
          <w:szCs w:val="32"/>
        </w:rPr>
        <w:t>专窗应增加高拍仪、进行法定代表人的身份信息采集，开通入驻部门专网，落实税务、发票仓库及税控设备支持单位办公场所及仓库，保障税控设备一周库存。（责任单位：区办事服务中心，完成时间：2019年4月底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四、时间节点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月底前，区办事服务中心应设立设置“企业开办专窗”，完成窗口的实体整合，配备服务专员，负责企业开办材料综合受理、流转等业务，并注重提升导办、咨询等服务；六月底前整合再造业务流程，实现系统完全打通，优化实名采集，实行“一次认证、全网通行”。</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textAlignment w:val="auto"/>
        <w:rPr>
          <w:rFonts w:ascii="黑体" w:hAnsi="黑体" w:eastAsia="黑体"/>
          <w:sz w:val="32"/>
          <w:szCs w:val="32"/>
        </w:rPr>
      </w:pPr>
      <w:r>
        <w:rPr>
          <w:rFonts w:hint="eastAsia" w:ascii="黑体" w:hAnsi="黑体" w:eastAsia="黑体"/>
          <w:sz w:val="32"/>
          <w:szCs w:val="32"/>
        </w:rPr>
        <w:t>工作保障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sz w:val="32"/>
          <w:szCs w:val="32"/>
        </w:rPr>
        <w:t>1.提高认识落实责任。</w:t>
      </w:r>
      <w:r>
        <w:rPr>
          <w:rFonts w:hint="eastAsia" w:ascii="仿宋" w:hAnsi="仿宋" w:eastAsia="仿宋" w:cs="仿宋"/>
          <w:color w:val="000000"/>
          <w:sz w:val="32"/>
          <w:szCs w:val="32"/>
        </w:rPr>
        <w:t>各单位要切实贯彻“以人民为中心的发展思想”，进一步把压缩企业开办时间、优化营商环境提高到深化“放管服”改革、推动民营经济高质量发展的重要高度，坚持问题导向、明确主体责任，全力落实工作扎实推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sz w:val="32"/>
          <w:szCs w:val="32"/>
        </w:rPr>
        <w:t>2.加强保障，强化落实。</w:t>
      </w:r>
      <w:r>
        <w:rPr>
          <w:rFonts w:hint="eastAsia" w:ascii="仿宋" w:hAnsi="仿宋" w:eastAsia="仿宋" w:cs="仿宋"/>
          <w:color w:val="000000"/>
          <w:sz w:val="32"/>
          <w:szCs w:val="32"/>
        </w:rPr>
        <w:t>在区委、区政府的统一领导下，区跑改办要加强统筹协调，区市场监管局要充分发挥牵头作用，会同区公安分局、区税务局、区人社局、人行萧山分行、区财政局、区信息中心及各有关单位，对“压缩企业开办时间”改革相关工作积极提供政策、场地、人员、数据、资金等各方面支持保障，确保工作顺利推进、落地见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sz w:val="32"/>
          <w:szCs w:val="32"/>
        </w:rPr>
        <w:t>3.强化责任清单管理。</w:t>
      </w:r>
      <w:r>
        <w:rPr>
          <w:rFonts w:hint="eastAsia" w:ascii="仿宋" w:hAnsi="仿宋" w:eastAsia="仿宋" w:cs="仿宋"/>
          <w:color w:val="000000"/>
          <w:sz w:val="32"/>
          <w:szCs w:val="32"/>
        </w:rPr>
        <w:t>严格对照本方案责任分工和时间节点，坚持标本兼治、长短结合，确保相关工作实效长效，区跑改办与区市场监管局加强督查考核，对推诿扯皮、重视不够、执行不力、进度落后的，及时通报问题，严肃追究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附件：1.流程图</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2.材料清单（以公司为例）</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3.企业开办信息采集表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color w:val="000000"/>
          <w:sz w:val="32"/>
          <w:szCs w:val="32"/>
        </w:rPr>
      </w:pPr>
    </w:p>
    <w:p>
      <w:pPr>
        <w:widowControl/>
        <w:jc w:val="left"/>
        <w:textAlignment w:val="center"/>
        <w:rPr>
          <w:rFonts w:hint="eastAsia" w:ascii="黑体" w:hAnsi="黑体" w:eastAsia="黑体"/>
          <w:color w:val="000000"/>
          <w:kern w:val="0"/>
          <w:sz w:val="32"/>
          <w:szCs w:val="32"/>
        </w:rPr>
      </w:pPr>
      <w:r>
        <w:rPr>
          <w:rFonts w:hint="eastAsia" w:ascii="黑体" w:hAnsi="黑体" w:eastAsia="黑体"/>
          <w:color w:val="000000"/>
          <w:kern w:val="0"/>
          <w:sz w:val="32"/>
          <w:szCs w:val="32"/>
        </w:rPr>
        <w:drawing>
          <wp:anchor distT="0" distB="0" distL="114300" distR="114300" simplePos="0" relativeHeight="251658240" behindDoc="0" locked="0" layoutInCell="1" allowOverlap="1">
            <wp:simplePos x="0" y="0"/>
            <wp:positionH relativeFrom="column">
              <wp:posOffset>-473075</wp:posOffset>
            </wp:positionH>
            <wp:positionV relativeFrom="paragraph">
              <wp:posOffset>404495</wp:posOffset>
            </wp:positionV>
            <wp:extent cx="6167120" cy="7702550"/>
            <wp:effectExtent l="0" t="0" r="5080" b="12700"/>
            <wp:wrapTopAndBottom/>
            <wp:docPr id="1" name="图片 1" descr="D:\Users\Administrator\Desktop\发文流程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Users\Administrator\Desktop\发文流程图.jpeg"/>
                    <pic:cNvPicPr>
                      <a:picLocks noChangeAspect="1"/>
                    </pic:cNvPicPr>
                  </pic:nvPicPr>
                  <pic:blipFill>
                    <a:blip r:embed="rId5"/>
                    <a:stretch>
                      <a:fillRect/>
                    </a:stretch>
                  </pic:blipFill>
                  <pic:spPr>
                    <a:xfrm>
                      <a:off x="0" y="0"/>
                      <a:ext cx="6167120" cy="7702550"/>
                    </a:xfrm>
                    <a:prstGeom prst="rect">
                      <a:avLst/>
                    </a:prstGeom>
                    <a:noFill/>
                    <a:ln>
                      <a:noFill/>
                    </a:ln>
                  </pic:spPr>
                </pic:pic>
              </a:graphicData>
            </a:graphic>
          </wp:anchor>
        </w:drawing>
      </w:r>
      <w:r>
        <w:rPr>
          <w:rFonts w:hint="eastAsia" w:ascii="黑体" w:hAnsi="黑体" w:eastAsia="黑体"/>
          <w:color w:val="000000"/>
          <w:kern w:val="0"/>
          <w:sz w:val="32"/>
          <w:szCs w:val="32"/>
        </w:rPr>
        <w:t xml:space="preserve">附件1 </w:t>
      </w:r>
    </w:p>
    <w:p>
      <w:pPr>
        <w:widowControl/>
        <w:spacing w:line="360" w:lineRule="exact"/>
        <w:jc w:val="center"/>
        <w:rPr>
          <w:rFonts w:hint="eastAsia" w:ascii="宋体" w:hAnsi="宋体" w:eastAsia="宋体"/>
          <w:b/>
          <w:color w:val="000000"/>
          <w:sz w:val="24"/>
          <w:szCs w:val="24"/>
        </w:rPr>
      </w:pPr>
    </w:p>
    <w:p>
      <w:pPr>
        <w:widowControl/>
        <w:spacing w:line="360" w:lineRule="exact"/>
        <w:jc w:val="center"/>
        <w:rPr>
          <w:rFonts w:hint="eastAsia" w:ascii="宋体" w:hAnsi="宋体" w:eastAsia="宋体"/>
          <w:b/>
          <w:color w:val="000000"/>
          <w:sz w:val="24"/>
          <w:szCs w:val="24"/>
        </w:rPr>
      </w:pPr>
    </w:p>
    <w:p>
      <w:pPr>
        <w:widowControl/>
        <w:spacing w:line="360" w:lineRule="exact"/>
        <w:jc w:val="center"/>
        <w:rPr>
          <w:rFonts w:hint="eastAsia" w:ascii="宋体" w:hAnsi="宋体" w:eastAsia="宋体"/>
          <w:b/>
          <w:color w:val="000000"/>
          <w:sz w:val="24"/>
          <w:szCs w:val="24"/>
        </w:rPr>
      </w:pPr>
    </w:p>
    <w:p>
      <w:pPr>
        <w:widowControl/>
        <w:jc w:val="left"/>
        <w:textAlignment w:val="center"/>
        <w:rPr>
          <w:rFonts w:hint="eastAsia" w:ascii="宋体" w:hAnsi="宋体" w:eastAsia="宋体"/>
          <w:b/>
          <w:color w:val="000000"/>
          <w:sz w:val="24"/>
          <w:szCs w:val="24"/>
        </w:rPr>
      </w:pPr>
      <w:r>
        <w:rPr>
          <w:rFonts w:hint="eastAsia" w:ascii="黑体" w:hAnsi="黑体" w:eastAsia="黑体"/>
          <w:color w:val="000000"/>
          <w:kern w:val="0"/>
          <w:sz w:val="32"/>
          <w:szCs w:val="32"/>
        </w:rPr>
        <w:t>附件2</w:t>
      </w:r>
    </w:p>
    <w:p>
      <w:pPr>
        <w:widowControl/>
        <w:jc w:val="center"/>
        <w:textAlignment w:val="center"/>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材料清单（以公司为例）</w:t>
      </w:r>
    </w:p>
    <w:tbl>
      <w:tblPr>
        <w:tblStyle w:val="4"/>
        <w:tblW w:w="8075" w:type="dxa"/>
        <w:jc w:val="center"/>
        <w:tblInd w:w="0" w:type="dxa"/>
        <w:tblLayout w:type="fixed"/>
        <w:tblCellMar>
          <w:top w:w="0" w:type="dxa"/>
          <w:left w:w="108" w:type="dxa"/>
          <w:bottom w:w="0" w:type="dxa"/>
          <w:right w:w="108" w:type="dxa"/>
        </w:tblCellMar>
      </w:tblPr>
      <w:tblGrid>
        <w:gridCol w:w="4957"/>
        <w:gridCol w:w="3118"/>
      </w:tblGrid>
      <w:tr>
        <w:tblPrEx>
          <w:tblLayout w:type="fixed"/>
          <w:tblCellMar>
            <w:top w:w="0" w:type="dxa"/>
            <w:left w:w="108" w:type="dxa"/>
            <w:bottom w:w="0" w:type="dxa"/>
            <w:right w:w="108" w:type="dxa"/>
          </w:tblCellMar>
        </w:tblPrEx>
        <w:trPr>
          <w:trHeight w:val="285" w:hRule="atLeast"/>
          <w:jc w:val="center"/>
        </w:trPr>
        <w:tc>
          <w:tcPr>
            <w:tcW w:w="4957"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材料名称或申请条件</w:t>
            </w:r>
          </w:p>
        </w:tc>
        <w:tc>
          <w:tcPr>
            <w:tcW w:w="3118" w:type="dxa"/>
            <w:tcBorders>
              <w:top w:val="single" w:color="auto" w:sz="4" w:space="0"/>
              <w:left w:val="nil"/>
              <w:bottom w:val="single" w:color="auto" w:sz="4" w:space="0"/>
              <w:right w:val="single" w:color="auto" w:sz="4" w:space="0"/>
            </w:tcBorders>
            <w:noWrap w:val="0"/>
            <w:vAlign w:val="bottom"/>
          </w:tcPr>
          <w:p>
            <w:pPr>
              <w:widowControl/>
              <w:spacing w:line="3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获取方式</w:t>
            </w:r>
          </w:p>
        </w:tc>
      </w:tr>
      <w:tr>
        <w:tblPrEx>
          <w:tblLayout w:type="fixed"/>
          <w:tblCellMar>
            <w:top w:w="0" w:type="dxa"/>
            <w:left w:w="108" w:type="dxa"/>
            <w:bottom w:w="0" w:type="dxa"/>
            <w:right w:w="108" w:type="dxa"/>
          </w:tblCellMar>
        </w:tblPrEx>
        <w:trPr>
          <w:trHeight w:val="285" w:hRule="atLeast"/>
          <w:jc w:val="center"/>
        </w:trPr>
        <w:tc>
          <w:tcPr>
            <w:tcW w:w="8075"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企业设立登记</w:t>
            </w:r>
          </w:p>
        </w:tc>
      </w:tr>
      <w:tr>
        <w:tblPrEx>
          <w:tblLayout w:type="fixed"/>
          <w:tblCellMar>
            <w:top w:w="0" w:type="dxa"/>
            <w:left w:w="108" w:type="dxa"/>
            <w:bottom w:w="0" w:type="dxa"/>
            <w:right w:w="108" w:type="dxa"/>
          </w:tblCellMar>
        </w:tblPrEx>
        <w:trPr>
          <w:trHeight w:val="570" w:hRule="atLeast"/>
          <w:jc w:val="center"/>
        </w:trPr>
        <w:tc>
          <w:tcPr>
            <w:tcW w:w="4957" w:type="dxa"/>
            <w:tcBorders>
              <w:top w:val="nil"/>
              <w:left w:val="single" w:color="auto" w:sz="4" w:space="0"/>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1、《公司登记（备案）申请书》（含《企业开办信息采集表》等附表，网报自动生成）</w:t>
            </w:r>
          </w:p>
        </w:tc>
        <w:tc>
          <w:tcPr>
            <w:tcW w:w="3118" w:type="dxa"/>
            <w:tcBorders>
              <w:top w:val="nil"/>
              <w:left w:val="nil"/>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提交或自动生成</w:t>
            </w:r>
          </w:p>
        </w:tc>
      </w:tr>
      <w:tr>
        <w:tblPrEx>
          <w:tblLayout w:type="fixed"/>
          <w:tblCellMar>
            <w:top w:w="0" w:type="dxa"/>
            <w:left w:w="108" w:type="dxa"/>
            <w:bottom w:w="0" w:type="dxa"/>
            <w:right w:w="108" w:type="dxa"/>
          </w:tblCellMar>
        </w:tblPrEx>
        <w:trPr>
          <w:trHeight w:val="285" w:hRule="atLeast"/>
          <w:jc w:val="center"/>
        </w:trPr>
        <w:tc>
          <w:tcPr>
            <w:tcW w:w="4957" w:type="dxa"/>
            <w:tcBorders>
              <w:top w:val="nil"/>
              <w:left w:val="single" w:color="auto" w:sz="4" w:space="0"/>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2、公司章程</w:t>
            </w:r>
          </w:p>
        </w:tc>
        <w:tc>
          <w:tcPr>
            <w:tcW w:w="3118" w:type="dxa"/>
            <w:tcBorders>
              <w:top w:val="nil"/>
              <w:left w:val="nil"/>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提交或自动生成</w:t>
            </w:r>
          </w:p>
        </w:tc>
      </w:tr>
      <w:tr>
        <w:tblPrEx>
          <w:tblLayout w:type="fixed"/>
          <w:tblCellMar>
            <w:top w:w="0" w:type="dxa"/>
            <w:left w:w="108" w:type="dxa"/>
            <w:bottom w:w="0" w:type="dxa"/>
            <w:right w:w="108" w:type="dxa"/>
          </w:tblCellMar>
        </w:tblPrEx>
        <w:trPr>
          <w:trHeight w:val="570" w:hRule="atLeast"/>
          <w:jc w:val="center"/>
        </w:trPr>
        <w:tc>
          <w:tcPr>
            <w:tcW w:w="4957" w:type="dxa"/>
            <w:tcBorders>
              <w:top w:val="nil"/>
              <w:left w:val="single" w:color="auto" w:sz="4" w:space="0"/>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3、董事（执行董事）、监事、经理、法定代表人任职文件</w:t>
            </w:r>
          </w:p>
        </w:tc>
        <w:tc>
          <w:tcPr>
            <w:tcW w:w="3118" w:type="dxa"/>
            <w:tcBorders>
              <w:top w:val="nil"/>
              <w:left w:val="nil"/>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提交或自动生成</w:t>
            </w:r>
          </w:p>
        </w:tc>
      </w:tr>
      <w:tr>
        <w:tblPrEx>
          <w:tblLayout w:type="fixed"/>
          <w:tblCellMar>
            <w:top w:w="0" w:type="dxa"/>
            <w:left w:w="108" w:type="dxa"/>
            <w:bottom w:w="0" w:type="dxa"/>
            <w:right w:w="108" w:type="dxa"/>
          </w:tblCellMar>
        </w:tblPrEx>
        <w:trPr>
          <w:trHeight w:val="1140" w:hRule="atLeast"/>
          <w:jc w:val="center"/>
        </w:trPr>
        <w:tc>
          <w:tcPr>
            <w:tcW w:w="4957" w:type="dxa"/>
            <w:tcBorders>
              <w:top w:val="nil"/>
              <w:left w:val="single" w:color="auto" w:sz="4" w:space="0"/>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4、股东主体资格证明和自然人身份证复印件（包括股东、董事、监事、经理、法定代表人、经办人、联络员等自然人身份证明）</w:t>
            </w:r>
          </w:p>
        </w:tc>
        <w:tc>
          <w:tcPr>
            <w:tcW w:w="3118" w:type="dxa"/>
            <w:tcBorders>
              <w:top w:val="nil"/>
              <w:left w:val="nil"/>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提交</w:t>
            </w:r>
          </w:p>
        </w:tc>
      </w:tr>
      <w:tr>
        <w:tblPrEx>
          <w:tblLayout w:type="fixed"/>
          <w:tblCellMar>
            <w:top w:w="0" w:type="dxa"/>
            <w:left w:w="108" w:type="dxa"/>
            <w:bottom w:w="0" w:type="dxa"/>
            <w:right w:w="108" w:type="dxa"/>
          </w:tblCellMar>
        </w:tblPrEx>
        <w:trPr>
          <w:trHeight w:val="285" w:hRule="atLeast"/>
          <w:jc w:val="center"/>
        </w:trPr>
        <w:tc>
          <w:tcPr>
            <w:tcW w:w="4957" w:type="dxa"/>
            <w:tcBorders>
              <w:top w:val="nil"/>
              <w:left w:val="single" w:color="auto" w:sz="4" w:space="0"/>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5、住所材料</w:t>
            </w:r>
          </w:p>
        </w:tc>
        <w:tc>
          <w:tcPr>
            <w:tcW w:w="3118" w:type="dxa"/>
            <w:tcBorders>
              <w:top w:val="nil"/>
              <w:left w:val="nil"/>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提交</w:t>
            </w:r>
          </w:p>
        </w:tc>
      </w:tr>
      <w:tr>
        <w:tblPrEx>
          <w:tblLayout w:type="fixed"/>
          <w:tblCellMar>
            <w:top w:w="0" w:type="dxa"/>
            <w:left w:w="108" w:type="dxa"/>
            <w:bottom w:w="0" w:type="dxa"/>
            <w:right w:w="108" w:type="dxa"/>
          </w:tblCellMar>
        </w:tblPrEx>
        <w:trPr>
          <w:trHeight w:val="285" w:hRule="atLeast"/>
          <w:jc w:val="center"/>
        </w:trPr>
        <w:tc>
          <w:tcPr>
            <w:tcW w:w="8075"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公章刻制</w:t>
            </w:r>
          </w:p>
        </w:tc>
      </w:tr>
      <w:tr>
        <w:tblPrEx>
          <w:tblLayout w:type="fixed"/>
          <w:tblCellMar>
            <w:top w:w="0" w:type="dxa"/>
            <w:left w:w="108" w:type="dxa"/>
            <w:bottom w:w="0" w:type="dxa"/>
            <w:right w:w="108" w:type="dxa"/>
          </w:tblCellMar>
        </w:tblPrEx>
        <w:trPr>
          <w:trHeight w:val="285" w:hRule="atLeast"/>
          <w:jc w:val="center"/>
        </w:trPr>
        <w:tc>
          <w:tcPr>
            <w:tcW w:w="4957" w:type="dxa"/>
            <w:tcBorders>
              <w:top w:val="nil"/>
              <w:left w:val="single" w:color="auto" w:sz="4" w:space="0"/>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1、营业执照和企业开办信息</w:t>
            </w:r>
          </w:p>
        </w:tc>
        <w:tc>
          <w:tcPr>
            <w:tcW w:w="3118" w:type="dxa"/>
            <w:tcBorders>
              <w:top w:val="nil"/>
              <w:left w:val="nil"/>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数据共享</w:t>
            </w:r>
          </w:p>
        </w:tc>
      </w:tr>
      <w:tr>
        <w:tblPrEx>
          <w:tblLayout w:type="fixed"/>
          <w:tblCellMar>
            <w:top w:w="0" w:type="dxa"/>
            <w:left w:w="108" w:type="dxa"/>
            <w:bottom w:w="0" w:type="dxa"/>
            <w:right w:w="108" w:type="dxa"/>
          </w:tblCellMar>
        </w:tblPrEx>
        <w:trPr>
          <w:trHeight w:val="285" w:hRule="atLeast"/>
          <w:jc w:val="center"/>
        </w:trPr>
        <w:tc>
          <w:tcPr>
            <w:tcW w:w="4957" w:type="dxa"/>
            <w:tcBorders>
              <w:top w:val="nil"/>
              <w:left w:val="single" w:color="auto" w:sz="4" w:space="0"/>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2、法定代表人和委托代理人身份信息（电子影像）</w:t>
            </w:r>
          </w:p>
        </w:tc>
        <w:tc>
          <w:tcPr>
            <w:tcW w:w="3118" w:type="dxa"/>
            <w:tcBorders>
              <w:top w:val="nil"/>
              <w:left w:val="nil"/>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数据共享</w:t>
            </w:r>
          </w:p>
        </w:tc>
      </w:tr>
      <w:tr>
        <w:tblPrEx>
          <w:tblLayout w:type="fixed"/>
          <w:tblCellMar>
            <w:top w:w="0" w:type="dxa"/>
            <w:left w:w="108" w:type="dxa"/>
            <w:bottom w:w="0" w:type="dxa"/>
            <w:right w:w="108" w:type="dxa"/>
          </w:tblCellMar>
        </w:tblPrEx>
        <w:trPr>
          <w:trHeight w:val="285" w:hRule="atLeast"/>
          <w:jc w:val="center"/>
        </w:trPr>
        <w:tc>
          <w:tcPr>
            <w:tcW w:w="8075"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银行开户</w:t>
            </w:r>
          </w:p>
        </w:tc>
      </w:tr>
      <w:tr>
        <w:tblPrEx>
          <w:tblLayout w:type="fixed"/>
          <w:tblCellMar>
            <w:top w:w="0" w:type="dxa"/>
            <w:left w:w="108" w:type="dxa"/>
            <w:bottom w:w="0" w:type="dxa"/>
            <w:right w:w="108" w:type="dxa"/>
          </w:tblCellMar>
        </w:tblPrEx>
        <w:trPr>
          <w:trHeight w:val="285" w:hRule="atLeast"/>
          <w:jc w:val="center"/>
        </w:trPr>
        <w:tc>
          <w:tcPr>
            <w:tcW w:w="4957" w:type="dxa"/>
            <w:tcBorders>
              <w:top w:val="nil"/>
              <w:left w:val="single" w:color="auto" w:sz="4" w:space="0"/>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1、开户申请书</w:t>
            </w:r>
          </w:p>
        </w:tc>
        <w:tc>
          <w:tcPr>
            <w:tcW w:w="3118" w:type="dxa"/>
            <w:tcBorders>
              <w:top w:val="nil"/>
              <w:left w:val="nil"/>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提交</w:t>
            </w:r>
          </w:p>
        </w:tc>
      </w:tr>
      <w:tr>
        <w:tblPrEx>
          <w:tblLayout w:type="fixed"/>
          <w:tblCellMar>
            <w:top w:w="0" w:type="dxa"/>
            <w:left w:w="108" w:type="dxa"/>
            <w:bottom w:w="0" w:type="dxa"/>
            <w:right w:w="108" w:type="dxa"/>
          </w:tblCellMar>
        </w:tblPrEx>
        <w:trPr>
          <w:trHeight w:val="285" w:hRule="atLeast"/>
          <w:jc w:val="center"/>
        </w:trPr>
        <w:tc>
          <w:tcPr>
            <w:tcW w:w="4957" w:type="dxa"/>
            <w:tcBorders>
              <w:top w:val="nil"/>
              <w:left w:val="single" w:color="auto" w:sz="4" w:space="0"/>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2、营业执照和企业开办信息</w:t>
            </w:r>
          </w:p>
        </w:tc>
        <w:tc>
          <w:tcPr>
            <w:tcW w:w="3118" w:type="dxa"/>
            <w:tcBorders>
              <w:top w:val="nil"/>
              <w:left w:val="nil"/>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数据共享</w:t>
            </w:r>
          </w:p>
        </w:tc>
      </w:tr>
      <w:tr>
        <w:tblPrEx>
          <w:tblLayout w:type="fixed"/>
          <w:tblCellMar>
            <w:top w:w="0" w:type="dxa"/>
            <w:left w:w="108" w:type="dxa"/>
            <w:bottom w:w="0" w:type="dxa"/>
            <w:right w:w="108" w:type="dxa"/>
          </w:tblCellMar>
        </w:tblPrEx>
        <w:trPr>
          <w:trHeight w:val="285" w:hRule="atLeast"/>
          <w:jc w:val="center"/>
        </w:trPr>
        <w:tc>
          <w:tcPr>
            <w:tcW w:w="4957" w:type="dxa"/>
            <w:tcBorders>
              <w:top w:val="nil"/>
              <w:left w:val="single" w:color="auto" w:sz="4" w:space="0"/>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3、法定代表人和委托代理人身份信息（电子影像）</w:t>
            </w:r>
          </w:p>
        </w:tc>
        <w:tc>
          <w:tcPr>
            <w:tcW w:w="3118" w:type="dxa"/>
            <w:tcBorders>
              <w:top w:val="nil"/>
              <w:left w:val="nil"/>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数据共享</w:t>
            </w:r>
          </w:p>
        </w:tc>
      </w:tr>
      <w:tr>
        <w:tblPrEx>
          <w:tblLayout w:type="fixed"/>
          <w:tblCellMar>
            <w:top w:w="0" w:type="dxa"/>
            <w:left w:w="108" w:type="dxa"/>
            <w:bottom w:w="0" w:type="dxa"/>
            <w:right w:w="108" w:type="dxa"/>
          </w:tblCellMar>
        </w:tblPrEx>
        <w:trPr>
          <w:trHeight w:val="285" w:hRule="atLeast"/>
          <w:jc w:val="center"/>
        </w:trPr>
        <w:tc>
          <w:tcPr>
            <w:tcW w:w="8075"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申领发票</w:t>
            </w:r>
          </w:p>
        </w:tc>
      </w:tr>
      <w:tr>
        <w:tblPrEx>
          <w:tblLayout w:type="fixed"/>
          <w:tblCellMar>
            <w:top w:w="0" w:type="dxa"/>
            <w:left w:w="108" w:type="dxa"/>
            <w:bottom w:w="0" w:type="dxa"/>
            <w:right w:w="108" w:type="dxa"/>
          </w:tblCellMar>
        </w:tblPrEx>
        <w:trPr>
          <w:trHeight w:val="285" w:hRule="atLeast"/>
          <w:jc w:val="center"/>
        </w:trPr>
        <w:tc>
          <w:tcPr>
            <w:tcW w:w="4957" w:type="dxa"/>
            <w:tcBorders>
              <w:top w:val="nil"/>
              <w:left w:val="single" w:color="auto" w:sz="4" w:space="0"/>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1、营业执照和企业开办信息</w:t>
            </w:r>
          </w:p>
        </w:tc>
        <w:tc>
          <w:tcPr>
            <w:tcW w:w="3118" w:type="dxa"/>
            <w:tcBorders>
              <w:top w:val="nil"/>
              <w:left w:val="nil"/>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数据共享</w:t>
            </w:r>
          </w:p>
        </w:tc>
      </w:tr>
      <w:tr>
        <w:tblPrEx>
          <w:tblLayout w:type="fixed"/>
          <w:tblCellMar>
            <w:top w:w="0" w:type="dxa"/>
            <w:left w:w="108" w:type="dxa"/>
            <w:bottom w:w="0" w:type="dxa"/>
            <w:right w:w="108" w:type="dxa"/>
          </w:tblCellMar>
        </w:tblPrEx>
        <w:trPr>
          <w:trHeight w:val="285" w:hRule="atLeast"/>
          <w:jc w:val="center"/>
        </w:trPr>
        <w:tc>
          <w:tcPr>
            <w:tcW w:w="4957" w:type="dxa"/>
            <w:tcBorders>
              <w:top w:val="nil"/>
              <w:left w:val="single" w:color="auto" w:sz="4" w:space="0"/>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2、法定代表人实名信息采集</w:t>
            </w:r>
          </w:p>
        </w:tc>
        <w:tc>
          <w:tcPr>
            <w:tcW w:w="3118" w:type="dxa"/>
            <w:tcBorders>
              <w:top w:val="nil"/>
              <w:left w:val="nil"/>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全流程电子签名方式申请企业开办免于实名信息采集</w:t>
            </w:r>
          </w:p>
        </w:tc>
      </w:tr>
      <w:tr>
        <w:tblPrEx>
          <w:tblLayout w:type="fixed"/>
          <w:tblCellMar>
            <w:top w:w="0" w:type="dxa"/>
            <w:left w:w="108" w:type="dxa"/>
            <w:bottom w:w="0" w:type="dxa"/>
            <w:right w:w="108" w:type="dxa"/>
          </w:tblCellMar>
        </w:tblPrEx>
        <w:trPr>
          <w:trHeight w:val="285" w:hRule="atLeast"/>
          <w:jc w:val="center"/>
        </w:trPr>
        <w:tc>
          <w:tcPr>
            <w:tcW w:w="8075"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社会保险单位参保登记</w:t>
            </w:r>
          </w:p>
        </w:tc>
      </w:tr>
      <w:tr>
        <w:tblPrEx>
          <w:tblLayout w:type="fixed"/>
          <w:tblCellMar>
            <w:top w:w="0" w:type="dxa"/>
            <w:left w:w="108" w:type="dxa"/>
            <w:bottom w:w="0" w:type="dxa"/>
            <w:right w:w="108" w:type="dxa"/>
          </w:tblCellMar>
        </w:tblPrEx>
        <w:trPr>
          <w:trHeight w:val="285" w:hRule="atLeast"/>
          <w:jc w:val="center"/>
        </w:trPr>
        <w:tc>
          <w:tcPr>
            <w:tcW w:w="4957" w:type="dxa"/>
            <w:tcBorders>
              <w:top w:val="nil"/>
              <w:left w:val="single" w:color="auto" w:sz="4" w:space="0"/>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1、营业执照和企业开办信息</w:t>
            </w:r>
          </w:p>
        </w:tc>
        <w:tc>
          <w:tcPr>
            <w:tcW w:w="3118" w:type="dxa"/>
            <w:tcBorders>
              <w:top w:val="nil"/>
              <w:left w:val="nil"/>
              <w:bottom w:val="single" w:color="auto" w:sz="4" w:space="0"/>
              <w:right w:val="single" w:color="auto" w:sz="4" w:space="0"/>
            </w:tcBorders>
            <w:noWrap w:val="0"/>
            <w:vAlign w:val="bottom"/>
          </w:tcPr>
          <w:p>
            <w:pPr>
              <w:widowControl/>
              <w:spacing w:line="3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数据共享</w:t>
            </w:r>
          </w:p>
        </w:tc>
      </w:tr>
    </w:tbl>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注：1.常态化企业开办需提交6份材料，其中企业设立登记5份，银行开户1份，部门共享和窗口扫描复印获取的不计入材料件数。《公司登记（备案）申请书》由主表和附表组成，含《企业开办信息采集表》等附表，计一份材料。住所材料应根据不同情况提交材料，计一份材料。</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2.申请人选择银行开户，通过平台网上预约，并向预约银行提交开户申请书（盖章），法定代表人携带身份证原件，如委托人办理，还需携带委托人身份证原件。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olor w:val="000000"/>
          <w:sz w:val="24"/>
          <w:szCs w:val="24"/>
        </w:rPr>
      </w:pPr>
      <w:r>
        <w:rPr>
          <w:rFonts w:hint="eastAsia" w:ascii="仿宋" w:hAnsi="仿宋" w:eastAsia="仿宋" w:cs="仿宋"/>
          <w:color w:val="000000"/>
          <w:sz w:val="24"/>
          <w:szCs w:val="24"/>
        </w:rPr>
        <w:t>3.企业选择分次办理各环节业务的，按各部门规定执行。</w:t>
      </w:r>
      <w:r>
        <w:rPr>
          <w:rFonts w:hint="eastAsia" w:ascii="仿宋" w:hAnsi="仿宋" w:eastAsia="仿宋" w:cs="仿宋"/>
          <w:color w:val="000000"/>
          <w:sz w:val="24"/>
          <w:szCs w:val="24"/>
        </w:rPr>
        <w:br w:type="page"/>
      </w:r>
      <w:r>
        <w:rPr>
          <w:rFonts w:hint="eastAsia" w:ascii="黑体" w:hAnsi="黑体" w:eastAsia="黑体"/>
          <w:color w:val="000000"/>
          <w:kern w:val="0"/>
          <w:sz w:val="32"/>
          <w:szCs w:val="32"/>
        </w:rPr>
        <w:t>附件3</w:t>
      </w:r>
    </w:p>
    <w:p>
      <w:pPr>
        <w:widowControl/>
        <w:jc w:val="center"/>
        <w:textAlignment w:val="center"/>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企业开办信息采集表</w:t>
      </w:r>
    </w:p>
    <w:tbl>
      <w:tblPr>
        <w:tblStyle w:val="4"/>
        <w:tblW w:w="8217" w:type="dxa"/>
        <w:jc w:val="center"/>
        <w:tblInd w:w="0" w:type="dxa"/>
        <w:tblLayout w:type="fixed"/>
        <w:tblCellMar>
          <w:top w:w="0" w:type="dxa"/>
          <w:left w:w="108" w:type="dxa"/>
          <w:bottom w:w="0" w:type="dxa"/>
          <w:right w:w="108" w:type="dxa"/>
        </w:tblCellMar>
      </w:tblPr>
      <w:tblGrid>
        <w:gridCol w:w="1696"/>
        <w:gridCol w:w="1843"/>
        <w:gridCol w:w="1276"/>
        <w:gridCol w:w="1276"/>
        <w:gridCol w:w="2126"/>
      </w:tblGrid>
      <w:tr>
        <w:tblPrEx>
          <w:tblLayout w:type="fixed"/>
          <w:tblCellMar>
            <w:top w:w="0" w:type="dxa"/>
            <w:left w:w="108" w:type="dxa"/>
            <w:bottom w:w="0" w:type="dxa"/>
            <w:right w:w="108" w:type="dxa"/>
          </w:tblCellMar>
        </w:tblPrEx>
        <w:trPr>
          <w:trHeight w:val="280" w:hRule="atLeast"/>
          <w:jc w:val="center"/>
        </w:trPr>
        <w:tc>
          <w:tcPr>
            <w:tcW w:w="8217" w:type="dxa"/>
            <w:gridSpan w:val="5"/>
            <w:tcBorders>
              <w:top w:val="single" w:color="auto" w:sz="4" w:space="0"/>
              <w:left w:val="single" w:color="auto" w:sz="4" w:space="0"/>
              <w:bottom w:val="single" w:color="auto" w:sz="4" w:space="0"/>
              <w:right w:val="single" w:color="auto" w:sz="4" w:space="0"/>
            </w:tcBorders>
            <w:noWrap/>
            <w:vAlign w:val="bottom"/>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□公章刻制</w:t>
            </w:r>
          </w:p>
        </w:tc>
      </w:tr>
      <w:tr>
        <w:tblPrEx>
          <w:tblLayout w:type="fixed"/>
          <w:tblCellMar>
            <w:top w:w="0" w:type="dxa"/>
            <w:left w:w="108" w:type="dxa"/>
            <w:bottom w:w="0" w:type="dxa"/>
            <w:right w:w="108" w:type="dxa"/>
          </w:tblCellMar>
        </w:tblPrEx>
        <w:trPr>
          <w:trHeight w:val="280" w:hRule="atLeast"/>
          <w:jc w:val="center"/>
        </w:trPr>
        <w:tc>
          <w:tcPr>
            <w:tcW w:w="1696" w:type="dxa"/>
            <w:tcBorders>
              <w:top w:val="nil"/>
              <w:left w:val="single" w:color="auto" w:sz="4" w:space="0"/>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公章刻制单位</w:t>
            </w:r>
          </w:p>
        </w:tc>
        <w:tc>
          <w:tcPr>
            <w:tcW w:w="6521" w:type="dxa"/>
            <w:gridSpan w:val="4"/>
            <w:tcBorders>
              <w:top w:val="single" w:color="auto" w:sz="4" w:space="0"/>
              <w:left w:val="nil"/>
              <w:bottom w:val="single" w:color="auto" w:sz="4" w:space="0"/>
              <w:right w:val="single" w:color="000000" w:sz="4" w:space="0"/>
            </w:tcBorders>
            <w:noWrap/>
            <w:vAlign w:val="bottom"/>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280" w:hRule="atLeast"/>
          <w:jc w:val="center"/>
        </w:trPr>
        <w:tc>
          <w:tcPr>
            <w:tcW w:w="1696" w:type="dxa"/>
            <w:tcBorders>
              <w:top w:val="nil"/>
              <w:left w:val="single" w:color="auto" w:sz="4" w:space="0"/>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刻章类型</w:t>
            </w:r>
          </w:p>
        </w:tc>
        <w:tc>
          <w:tcPr>
            <w:tcW w:w="6521" w:type="dxa"/>
            <w:gridSpan w:val="4"/>
            <w:tcBorders>
              <w:top w:val="nil"/>
              <w:left w:val="nil"/>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□公章 □财务专用章 □法人章（私章）</w:t>
            </w:r>
          </w:p>
          <w:p>
            <w:pPr>
              <w:widowControl/>
              <w:spacing w:line="440" w:lineRule="exact"/>
              <w:jc w:val="left"/>
              <w:rPr>
                <w:rFonts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8217" w:type="dxa"/>
            <w:gridSpan w:val="5"/>
            <w:tcBorders>
              <w:top w:val="single" w:color="auto" w:sz="4" w:space="0"/>
              <w:left w:val="single" w:color="auto" w:sz="4" w:space="0"/>
              <w:bottom w:val="single" w:color="auto" w:sz="4" w:space="0"/>
              <w:right w:val="single" w:color="000000" w:sz="4" w:space="0"/>
            </w:tcBorders>
            <w:noWrap/>
            <w:vAlign w:val="bottom"/>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□银行开户</w:t>
            </w:r>
          </w:p>
        </w:tc>
      </w:tr>
      <w:tr>
        <w:tblPrEx>
          <w:tblLayout w:type="fixed"/>
          <w:tblCellMar>
            <w:top w:w="0" w:type="dxa"/>
            <w:left w:w="108" w:type="dxa"/>
            <w:bottom w:w="0" w:type="dxa"/>
            <w:right w:w="108" w:type="dxa"/>
          </w:tblCellMar>
        </w:tblPrEx>
        <w:trPr>
          <w:trHeight w:val="280" w:hRule="atLeast"/>
          <w:jc w:val="center"/>
        </w:trPr>
        <w:tc>
          <w:tcPr>
            <w:tcW w:w="1696" w:type="dxa"/>
            <w:tcBorders>
              <w:top w:val="nil"/>
              <w:left w:val="single" w:color="auto" w:sz="4" w:space="0"/>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银行</w:t>
            </w:r>
          </w:p>
        </w:tc>
        <w:tc>
          <w:tcPr>
            <w:tcW w:w="1843" w:type="dxa"/>
            <w:tcBorders>
              <w:top w:val="nil"/>
              <w:left w:val="nil"/>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网点</w:t>
            </w:r>
          </w:p>
        </w:tc>
        <w:tc>
          <w:tcPr>
            <w:tcW w:w="3402" w:type="dxa"/>
            <w:gridSpan w:val="2"/>
            <w:tcBorders>
              <w:top w:val="single" w:color="auto" w:sz="4" w:space="0"/>
              <w:left w:val="nil"/>
              <w:bottom w:val="single" w:color="auto" w:sz="4" w:space="0"/>
              <w:right w:val="single" w:color="000000" w:sz="4" w:space="0"/>
            </w:tcBorders>
            <w:noWrap/>
            <w:vAlign w:val="bottom"/>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280" w:hRule="atLeast"/>
          <w:jc w:val="center"/>
        </w:trPr>
        <w:tc>
          <w:tcPr>
            <w:tcW w:w="8217" w:type="dxa"/>
            <w:gridSpan w:val="5"/>
            <w:tcBorders>
              <w:top w:val="nil"/>
              <w:left w:val="single" w:color="auto" w:sz="4" w:space="0"/>
              <w:bottom w:val="single" w:color="auto" w:sz="4" w:space="0"/>
              <w:right w:val="single" w:color="000000" w:sz="4" w:space="0"/>
            </w:tcBorders>
            <w:noWrap/>
            <w:vAlign w:val="bottom"/>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□申领发票</w:t>
            </w:r>
          </w:p>
        </w:tc>
      </w:tr>
      <w:tr>
        <w:tblPrEx>
          <w:tblLayout w:type="fixed"/>
          <w:tblCellMar>
            <w:top w:w="0" w:type="dxa"/>
            <w:left w:w="108" w:type="dxa"/>
            <w:bottom w:w="0" w:type="dxa"/>
            <w:right w:w="108" w:type="dxa"/>
          </w:tblCellMar>
        </w:tblPrEx>
        <w:trPr>
          <w:trHeight w:val="280" w:hRule="atLeast"/>
          <w:jc w:val="center"/>
        </w:trPr>
        <w:tc>
          <w:tcPr>
            <w:tcW w:w="1696" w:type="dxa"/>
            <w:tcBorders>
              <w:top w:val="nil"/>
              <w:left w:val="single" w:color="auto" w:sz="4" w:space="0"/>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一般纳税人</w:t>
            </w:r>
          </w:p>
        </w:tc>
        <w:tc>
          <w:tcPr>
            <w:tcW w:w="6521" w:type="dxa"/>
            <w:gridSpan w:val="4"/>
            <w:tcBorders>
              <w:top w:val="single" w:color="auto" w:sz="4" w:space="0"/>
              <w:left w:val="nil"/>
              <w:bottom w:val="single" w:color="auto" w:sz="4" w:space="0"/>
              <w:right w:val="single" w:color="000000"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□是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□否</w:t>
            </w:r>
          </w:p>
        </w:tc>
      </w:tr>
      <w:tr>
        <w:tblPrEx>
          <w:tblLayout w:type="fixed"/>
          <w:tblCellMar>
            <w:top w:w="0" w:type="dxa"/>
            <w:left w:w="108" w:type="dxa"/>
            <w:bottom w:w="0" w:type="dxa"/>
            <w:right w:w="108" w:type="dxa"/>
          </w:tblCellMar>
        </w:tblPrEx>
        <w:trPr>
          <w:trHeight w:val="280" w:hRule="atLeast"/>
          <w:jc w:val="center"/>
        </w:trPr>
        <w:tc>
          <w:tcPr>
            <w:tcW w:w="1696" w:type="dxa"/>
            <w:tcBorders>
              <w:top w:val="nil"/>
              <w:left w:val="single" w:color="auto" w:sz="4" w:space="0"/>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发票类型</w:t>
            </w:r>
          </w:p>
        </w:tc>
        <w:tc>
          <w:tcPr>
            <w:tcW w:w="6521" w:type="dxa"/>
            <w:gridSpan w:val="4"/>
            <w:tcBorders>
              <w:top w:val="single" w:color="auto" w:sz="4" w:space="0"/>
              <w:left w:val="nil"/>
              <w:bottom w:val="single" w:color="auto" w:sz="4" w:space="0"/>
              <w:right w:val="single" w:color="000000"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□增值税普通发票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□增值税专用发票</w:t>
            </w:r>
          </w:p>
        </w:tc>
      </w:tr>
      <w:tr>
        <w:tblPrEx>
          <w:tblLayout w:type="fixed"/>
          <w:tblCellMar>
            <w:top w:w="0" w:type="dxa"/>
            <w:left w:w="108" w:type="dxa"/>
            <w:bottom w:w="0" w:type="dxa"/>
            <w:right w:w="108" w:type="dxa"/>
          </w:tblCellMar>
        </w:tblPrEx>
        <w:trPr>
          <w:trHeight w:val="280" w:hRule="atLeast"/>
          <w:jc w:val="center"/>
        </w:trPr>
        <w:tc>
          <w:tcPr>
            <w:tcW w:w="1696" w:type="dxa"/>
            <w:tcBorders>
              <w:top w:val="nil"/>
              <w:left w:val="single" w:color="auto" w:sz="4" w:space="0"/>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税控设备单位</w:t>
            </w:r>
          </w:p>
        </w:tc>
        <w:tc>
          <w:tcPr>
            <w:tcW w:w="6521" w:type="dxa"/>
            <w:gridSpan w:val="4"/>
            <w:tcBorders>
              <w:top w:val="single" w:color="auto" w:sz="4" w:space="0"/>
              <w:left w:val="nil"/>
              <w:bottom w:val="single" w:color="auto" w:sz="4" w:space="0"/>
              <w:right w:val="single" w:color="000000"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□航天信息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□百旺金赋</w:t>
            </w:r>
          </w:p>
        </w:tc>
      </w:tr>
      <w:tr>
        <w:tblPrEx>
          <w:tblLayout w:type="fixed"/>
          <w:tblCellMar>
            <w:top w:w="0" w:type="dxa"/>
            <w:left w:w="108" w:type="dxa"/>
            <w:bottom w:w="0" w:type="dxa"/>
            <w:right w:w="108" w:type="dxa"/>
          </w:tblCellMar>
        </w:tblPrEx>
        <w:trPr>
          <w:trHeight w:val="280" w:hRule="atLeast"/>
          <w:jc w:val="center"/>
        </w:trPr>
        <w:tc>
          <w:tcPr>
            <w:tcW w:w="8217" w:type="dxa"/>
            <w:gridSpan w:val="5"/>
            <w:tcBorders>
              <w:top w:val="single" w:color="auto" w:sz="4" w:space="0"/>
              <w:left w:val="single" w:color="auto" w:sz="4" w:space="0"/>
              <w:bottom w:val="single" w:color="auto" w:sz="4" w:space="0"/>
              <w:right w:val="single" w:color="000000" w:sz="4" w:space="0"/>
            </w:tcBorders>
            <w:noWrap/>
            <w:vAlign w:val="bottom"/>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□社会保险单位参保登记</w:t>
            </w:r>
          </w:p>
        </w:tc>
      </w:tr>
      <w:tr>
        <w:tblPrEx>
          <w:tblLayout w:type="fixed"/>
          <w:tblCellMar>
            <w:top w:w="0" w:type="dxa"/>
            <w:left w:w="108" w:type="dxa"/>
            <w:bottom w:w="0" w:type="dxa"/>
            <w:right w:w="108" w:type="dxa"/>
          </w:tblCellMar>
        </w:tblPrEx>
        <w:trPr>
          <w:trHeight w:val="280" w:hRule="atLeast"/>
          <w:jc w:val="center"/>
        </w:trPr>
        <w:tc>
          <w:tcPr>
            <w:tcW w:w="1696" w:type="dxa"/>
            <w:tcBorders>
              <w:top w:val="nil"/>
              <w:left w:val="single" w:color="auto" w:sz="4" w:space="0"/>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□合并办理</w:t>
            </w:r>
          </w:p>
        </w:tc>
        <w:tc>
          <w:tcPr>
            <w:tcW w:w="1843" w:type="dxa"/>
            <w:tcBorders>
              <w:top w:val="nil"/>
              <w:left w:val="nil"/>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参保联络员</w:t>
            </w:r>
          </w:p>
        </w:tc>
        <w:tc>
          <w:tcPr>
            <w:tcW w:w="1276" w:type="dxa"/>
            <w:tcBorders>
              <w:top w:val="nil"/>
              <w:left w:val="nil"/>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2126" w:type="dxa"/>
            <w:tcBorders>
              <w:top w:val="nil"/>
              <w:left w:val="nil"/>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280" w:hRule="atLeast"/>
          <w:jc w:val="center"/>
        </w:trPr>
        <w:tc>
          <w:tcPr>
            <w:tcW w:w="1696" w:type="dxa"/>
            <w:tcBorders>
              <w:top w:val="nil"/>
              <w:left w:val="single" w:color="auto" w:sz="4" w:space="0"/>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□自行申报</w:t>
            </w:r>
          </w:p>
        </w:tc>
        <w:tc>
          <w:tcPr>
            <w:tcW w:w="6521" w:type="dxa"/>
            <w:gridSpan w:val="4"/>
            <w:tcBorders>
              <w:top w:val="single" w:color="auto" w:sz="4" w:space="0"/>
              <w:left w:val="nil"/>
              <w:bottom w:val="single" w:color="auto" w:sz="4" w:space="0"/>
              <w:right w:val="single" w:color="000000" w:sz="4" w:space="0"/>
            </w:tcBorders>
            <w:noWrap/>
            <w:vAlign w:val="bottom"/>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280" w:hRule="atLeast"/>
          <w:jc w:val="center"/>
        </w:trPr>
        <w:tc>
          <w:tcPr>
            <w:tcW w:w="8217" w:type="dxa"/>
            <w:gridSpan w:val="5"/>
            <w:tcBorders>
              <w:top w:val="single" w:color="auto" w:sz="4" w:space="0"/>
              <w:left w:val="single" w:color="auto" w:sz="4" w:space="0"/>
              <w:bottom w:val="single" w:color="auto" w:sz="4" w:space="0"/>
              <w:right w:val="single" w:color="000000" w:sz="4" w:space="0"/>
            </w:tcBorders>
            <w:noWrap/>
            <w:vAlign w:val="bottom"/>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□寄递服务</w:t>
            </w:r>
          </w:p>
        </w:tc>
      </w:tr>
      <w:tr>
        <w:tblPrEx>
          <w:tblLayout w:type="fixed"/>
          <w:tblCellMar>
            <w:top w:w="0" w:type="dxa"/>
            <w:left w:w="108" w:type="dxa"/>
            <w:bottom w:w="0" w:type="dxa"/>
            <w:right w:w="108" w:type="dxa"/>
          </w:tblCellMar>
        </w:tblPrEx>
        <w:trPr>
          <w:trHeight w:val="280" w:hRule="atLeast"/>
          <w:jc w:val="center"/>
        </w:trPr>
        <w:tc>
          <w:tcPr>
            <w:tcW w:w="1696" w:type="dxa"/>
            <w:tcBorders>
              <w:top w:val="nil"/>
              <w:left w:val="single" w:color="auto" w:sz="4" w:space="0"/>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寄递物品</w:t>
            </w:r>
          </w:p>
        </w:tc>
        <w:tc>
          <w:tcPr>
            <w:tcW w:w="6521" w:type="dxa"/>
            <w:gridSpan w:val="4"/>
            <w:tcBorders>
              <w:top w:val="single" w:color="auto" w:sz="4" w:space="0"/>
              <w:left w:val="nil"/>
              <w:bottom w:val="single" w:color="auto" w:sz="4" w:space="0"/>
              <w:right w:val="single" w:color="000000"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□营业执照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□企业公章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□税务发票</w:t>
            </w:r>
          </w:p>
        </w:tc>
      </w:tr>
      <w:tr>
        <w:tblPrEx>
          <w:tblLayout w:type="fixed"/>
          <w:tblCellMar>
            <w:top w:w="0" w:type="dxa"/>
            <w:left w:w="108" w:type="dxa"/>
            <w:bottom w:w="0" w:type="dxa"/>
            <w:right w:w="108" w:type="dxa"/>
          </w:tblCellMar>
        </w:tblPrEx>
        <w:trPr>
          <w:trHeight w:val="280" w:hRule="atLeast"/>
          <w:jc w:val="center"/>
        </w:trPr>
        <w:tc>
          <w:tcPr>
            <w:tcW w:w="1696" w:type="dxa"/>
            <w:tcBorders>
              <w:top w:val="nil"/>
              <w:left w:val="single" w:color="auto" w:sz="4" w:space="0"/>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w:t>
            </w:r>
          </w:p>
        </w:tc>
        <w:tc>
          <w:tcPr>
            <w:tcW w:w="1843" w:type="dxa"/>
            <w:tcBorders>
              <w:top w:val="nil"/>
              <w:left w:val="nil"/>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3402" w:type="dxa"/>
            <w:gridSpan w:val="2"/>
            <w:tcBorders>
              <w:top w:val="nil"/>
              <w:left w:val="nil"/>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280" w:hRule="atLeast"/>
          <w:jc w:val="center"/>
        </w:trPr>
        <w:tc>
          <w:tcPr>
            <w:tcW w:w="1696" w:type="dxa"/>
            <w:tcBorders>
              <w:top w:val="nil"/>
              <w:left w:val="single" w:color="auto" w:sz="4" w:space="0"/>
              <w:bottom w:val="single" w:color="auto" w:sz="4" w:space="0"/>
              <w:right w:val="single" w:color="auto" w:sz="4" w:space="0"/>
            </w:tcBorders>
            <w:noWrap/>
            <w:vAlign w:val="bottom"/>
          </w:tcPr>
          <w:p>
            <w:pPr>
              <w:widowControl/>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快递地址</w:t>
            </w:r>
          </w:p>
        </w:tc>
        <w:tc>
          <w:tcPr>
            <w:tcW w:w="6521" w:type="dxa"/>
            <w:gridSpan w:val="4"/>
            <w:tcBorders>
              <w:top w:val="single" w:color="auto" w:sz="4" w:space="0"/>
              <w:left w:val="nil"/>
              <w:bottom w:val="single" w:color="auto" w:sz="4" w:space="0"/>
              <w:right w:val="single" w:color="000000" w:sz="4" w:space="0"/>
            </w:tcBorders>
            <w:noWrap/>
            <w:vAlign w:val="bottom"/>
          </w:tcPr>
          <w:p>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注：1.《企业开办信息采集表》只在企业选择公章刻制、银行开户、申领发票、社保登记时填写，可根据需求自主选择。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2.增值税普通发票、增值税专用发票可以同时选择，但一般纳税人选择“否”时，不得选择“增值税专用发票”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3.银行开户可选择清单中的网点进行开户，并支持开户预约。</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4.社会保险参保单位参保登记选择“合并办理”，将在企业主管税务机关所在地社会保险经办机构完成单位参保登记；选择“自行申报”，请自行向社会保险经办机构申报办理。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5.申请人如选择寄递营业执照、企业公章、税务发票，请填写寄递服务相关信息，企业公章、税务发票寄递联系人必须为法定代表人或财务负责人。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spacing w:line="240" w:lineRule="auto"/>
        <w:textAlignment w:val="auto"/>
        <w:outlineLvl w:val="9"/>
      </w:pPr>
      <w:r>
        <w:rPr>
          <w:rFonts w:hint="eastAsia" w:ascii="仿宋" w:hAnsi="仿宋" w:eastAsia="仿宋" w:cs="仿宋"/>
          <w:color w:val="000000"/>
          <w:spacing w:val="-28"/>
          <w:kern w:val="0"/>
          <w:sz w:val="28"/>
          <w:szCs w:val="28"/>
        </w:rPr>
        <mc:AlternateContent>
          <mc:Choice Requires="wps">
            <w:drawing>
              <wp:anchor distT="0" distB="0" distL="114300" distR="114300" simplePos="0" relativeHeight="251668480" behindDoc="0" locked="0" layoutInCell="1" allowOverlap="1">
                <wp:simplePos x="0" y="0"/>
                <wp:positionH relativeFrom="column">
                  <wp:posOffset>-125095</wp:posOffset>
                </wp:positionH>
                <wp:positionV relativeFrom="paragraph">
                  <wp:posOffset>398145</wp:posOffset>
                </wp:positionV>
                <wp:extent cx="55943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85pt;margin-top:31.35pt;height:0pt;width:440.5pt;z-index:251668480;mso-width-relative:page;mso-height-relative:page;" filled="f" stroked="t" coordsize="21600,21600" o:gfxdata="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17qfn1gAAAAkBAAAPAAAAAAAAAAEAIAAA&#10;ACIAAABkcnMvZG93bnJldi54bWxQSwECFAAUAAAACACHTuJAdO5owdUBAACYAwAADgAAAAAAAAAB&#10;ACAAAAAl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color w:val="000000"/>
          <w:spacing w:val="-28"/>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-134620</wp:posOffset>
                </wp:positionH>
                <wp:positionV relativeFrom="paragraph">
                  <wp:posOffset>7620</wp:posOffset>
                </wp:positionV>
                <wp:extent cx="55943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6pt;margin-top:0.6pt;height:0pt;width:440.5pt;z-index:251667456;mso-width-relative:page;mso-height-relative:page;" filled="f" stroked="t" coordsize="21600,21600" o:gfxdata="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QH5cdQAAAAHAQAADwAAAAAAAAABACAA&#10;AAAiAAAAZHJzL2Rvd25yZXYueG1sUEsBAhQAFAAAAAgAh07iQNnz04DYAQAAmAMAAA4AAAAAAAAA&#10;AQAgAAAAIw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spacing w:val="-28"/>
          <w:sz w:val="28"/>
          <w:szCs w:val="28"/>
        </w:rPr>
        <w:t>杭州市萧山区全面深化“最多跑一次”改革领导小组办公室</w:t>
      </w:r>
      <w:r>
        <w:rPr>
          <w:rFonts w:hint="eastAsia" w:ascii="仿宋" w:hAnsi="仿宋" w:eastAsia="仿宋" w:cs="仿宋"/>
          <w:spacing w:val="-28"/>
          <w:sz w:val="28"/>
          <w:szCs w:val="28"/>
          <w:lang w:val="en-US" w:eastAsia="zh-CN"/>
        </w:rPr>
        <w:t xml:space="preserve">   2019年4月19日印发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548D1"/>
    <w:multiLevelType w:val="multilevel"/>
    <w:tmpl w:val="2D5548D1"/>
    <w:lvl w:ilvl="0" w:tentative="0">
      <w:start w:val="5"/>
      <w:numFmt w:val="japaneseCounting"/>
      <w:lvlText w:val="%1、"/>
      <w:lvlJc w:val="left"/>
      <w:pPr>
        <w:ind w:left="1352" w:hanging="720"/>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E2AB5"/>
    <w:rsid w:val="545C2C9C"/>
    <w:rsid w:val="5ABE2AB5"/>
    <w:rsid w:val="784F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2019-04-28T02:47:00Z</dcterms:created>
  <dc:creator>Administrator</dc:creator>
  <cp:lastModifiedBy>Administrator</cp:lastModifiedBy>
  <dcterms:modified xsi:type="dcterms:W3CDTF">2019-04-28T03:23:11Z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