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700" w:type="dxa"/>
            <w:tcBorders>
              <w:top w:val="nil"/>
              <w:left w:val="nil"/>
              <w:bottom w:val="single" w:color="FF0000" w:sz="18" w:space="0"/>
              <w:right w:val="nil"/>
            </w:tcBorders>
            <w:noWrap w:val="0"/>
            <w:vAlign w:val="top"/>
          </w:tcPr>
          <w:p>
            <w:pPr>
              <w:spacing w:line="336" w:lineRule="auto"/>
              <w:rPr>
                <w:rFonts w:hint="eastAsia" w:ascii="仿宋_GB2312"/>
                <w:sz w:val="32"/>
                <w:szCs w:val="32"/>
              </w:rPr>
            </w:pPr>
            <w:bookmarkStart w:id="1" w:name="_GoBack"/>
            <w:bookmarkEnd w:id="1"/>
          </w:p>
          <w:p>
            <w:pPr>
              <w:spacing w:line="336" w:lineRule="auto"/>
              <w:jc w:val="center"/>
              <w:rPr>
                <w:rFonts w:hint="eastAsia" w:ascii="仿宋_GB2312"/>
                <w:color w:val="FF0000"/>
                <w:sz w:val="18"/>
                <w:szCs w:val="18"/>
              </w:rPr>
            </w:pPr>
            <w:r>
              <w:rPr>
                <w:rFonts w:hint="eastAsia" w:ascii="仿宋_GB2312" w:eastAsia="仿宋_GB2312"/>
                <w:sz w:val="32"/>
                <w:szCs w:val="32"/>
              </w:rPr>
              <w:t>萧跑改办〔</w:t>
            </w:r>
            <w:r>
              <w:rPr>
                <w:rFonts w:ascii="仿宋_GB2312" w:eastAsia="仿宋_GB2312"/>
                <w:sz w:val="32"/>
                <w:szCs w:val="32"/>
              </w:rPr>
              <w:t>20</w:t>
            </w:r>
            <w:r>
              <w:rPr>
                <w:rFonts w:hint="eastAsia" w:ascii="仿宋_GB2312" w:eastAsia="仿宋_GB2312"/>
                <w:sz w:val="32"/>
                <w:szCs w:val="32"/>
              </w:rPr>
              <w:t>1</w:t>
            </w:r>
            <w:r>
              <w:rPr>
                <w:rFonts w:hint="eastAsia" w:ascii="仿宋_GB2312"/>
                <w:sz w:val="32"/>
                <w:szCs w:val="32"/>
                <w:lang w:val="en-US" w:eastAsia="zh-CN"/>
              </w:rPr>
              <w:t>9</w:t>
            </w:r>
            <w:r>
              <w:rPr>
                <w:rFonts w:hint="eastAsia" w:ascii="仿宋_GB2312" w:eastAsia="仿宋_GB2312"/>
                <w:sz w:val="32"/>
                <w:szCs w:val="32"/>
              </w:rPr>
              <w:t>〕</w:t>
            </w:r>
            <w:r>
              <w:rPr>
                <w:rFonts w:hint="eastAsia" w:ascii="仿宋_GB2312"/>
                <w:sz w:val="32"/>
                <w:szCs w:val="32"/>
                <w:lang w:val="en-US" w:eastAsia="zh-CN"/>
              </w:rPr>
              <w:t>7</w:t>
            </w:r>
            <w:r>
              <w:rPr>
                <w:rFonts w:hint="eastAsia" w:ascii="仿宋_GB2312" w:eastAsia="仿宋_GB2312"/>
                <w:sz w:val="32"/>
                <w:szCs w:val="32"/>
              </w:rPr>
              <w:t>号</w:t>
            </w:r>
          </w:p>
        </w:tc>
      </w:tr>
    </w:tbl>
    <w:tbl>
      <w:tblPr>
        <w:tblStyle w:val="4"/>
        <w:tblpPr w:leftFromText="180" w:rightFromText="180" w:vertAnchor="page" w:horzAnchor="margin" w:tblpY="2552"/>
        <w:tblW w:w="8680" w:type="dxa"/>
        <w:tblInd w:w="0" w:type="dxa"/>
        <w:tblLayout w:type="fixed"/>
        <w:tblCellMar>
          <w:top w:w="0" w:type="dxa"/>
          <w:left w:w="108" w:type="dxa"/>
          <w:bottom w:w="0" w:type="dxa"/>
          <w:right w:w="108" w:type="dxa"/>
        </w:tblCellMar>
      </w:tblPr>
      <w:tblGrid>
        <w:gridCol w:w="8680"/>
      </w:tblGrid>
      <w:tr>
        <w:tblPrEx>
          <w:tblLayout w:type="fixed"/>
          <w:tblCellMar>
            <w:top w:w="0" w:type="dxa"/>
            <w:left w:w="108" w:type="dxa"/>
            <w:bottom w:w="0" w:type="dxa"/>
            <w:right w:w="108" w:type="dxa"/>
          </w:tblCellMar>
        </w:tblPrEx>
        <w:trPr>
          <w:trHeight w:val="1387" w:hRule="atLeast"/>
        </w:trPr>
        <w:tc>
          <w:tcPr>
            <w:tcW w:w="8680" w:type="dxa"/>
            <w:noWrap w:val="0"/>
            <w:vAlign w:val="center"/>
          </w:tcPr>
          <w:p>
            <w:pPr>
              <w:spacing w:line="300" w:lineRule="auto"/>
              <w:jc w:val="center"/>
              <w:rPr>
                <w:rFonts w:hint="eastAsia" w:ascii="方正小标宋简体" w:eastAsia="方正小标宋简体"/>
                <w:color w:val="FF0000"/>
                <w:spacing w:val="-20"/>
                <w:w w:val="70"/>
                <w:kern w:val="0"/>
                <w:sz w:val="72"/>
                <w:szCs w:val="72"/>
              </w:rPr>
            </w:pPr>
            <w:r>
              <w:rPr>
                <w:rFonts w:hint="eastAsia" w:ascii="方正小标宋简体" w:eastAsia="方正小标宋简体"/>
                <w:color w:val="FF0000"/>
                <w:spacing w:val="-6"/>
                <w:w w:val="44"/>
                <w:kern w:val="0"/>
                <w:sz w:val="72"/>
                <w:szCs w:val="72"/>
                <w:fitText w:val="8893" w:id="0"/>
              </w:rPr>
              <w:t>杭州市萧山区全面深化“最多跑一次”改革领导小组办公室文件</w:t>
            </w:r>
          </w:p>
        </w:tc>
      </w:tr>
    </w:tbl>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小标宋" w:eastAsia="小标宋" w:cs="Times New Roman"/>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小标宋" w:eastAsia="小标宋" w:cs="Times New Roman"/>
          <w:color w:val="000000"/>
          <w:spacing w:val="0"/>
          <w:sz w:val="44"/>
          <w:szCs w:val="44"/>
          <w:lang w:val="en-US" w:eastAsia="zh-CN"/>
        </w:rPr>
      </w:pPr>
      <w:r>
        <w:rPr>
          <w:rFonts w:hint="eastAsia" w:ascii="小标宋" w:eastAsia="小标宋" w:cs="Times New Roman"/>
          <w:color w:val="000000"/>
          <w:spacing w:val="0"/>
          <w:sz w:val="44"/>
          <w:szCs w:val="44"/>
          <w:lang w:val="en-US" w:eastAsia="zh-CN"/>
        </w:rPr>
        <w:t>关于印发《萧山区优化企业开办全流程</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小标宋" w:eastAsia="小标宋" w:cs="Times New Roman"/>
          <w:color w:val="000000"/>
          <w:spacing w:val="0"/>
          <w:sz w:val="44"/>
          <w:szCs w:val="44"/>
          <w:lang w:val="en-US" w:eastAsia="zh-CN"/>
        </w:rPr>
      </w:pPr>
      <w:r>
        <w:rPr>
          <w:rFonts w:hint="eastAsia" w:ascii="小标宋" w:eastAsia="小标宋" w:cs="Times New Roman"/>
          <w:color w:val="000000"/>
          <w:spacing w:val="0"/>
          <w:sz w:val="44"/>
          <w:szCs w:val="44"/>
          <w:lang w:val="en-US" w:eastAsia="zh-CN"/>
        </w:rPr>
        <w:t>“一件事”一日办结2.0行动方案》的通知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各有关单位：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现将《萧山区优化企业开办全流程“一件事”一日办结2.0行动方案》印发给你们，请遵照执行。</w:t>
      </w:r>
    </w:p>
    <w:p>
      <w:pPr>
        <w:keepNext w:val="0"/>
        <w:keepLines w:val="0"/>
        <w:pageBreakBefore w:val="0"/>
        <w:widowControl w:val="0"/>
        <w:kinsoku/>
        <w:wordWrap/>
        <w:overflowPunct/>
        <w:topLinePunct w:val="0"/>
        <w:autoSpaceDE/>
        <w:autoSpaceDN/>
        <w:bidi w:val="0"/>
        <w:spacing w:line="560" w:lineRule="exact"/>
        <w:ind w:right="1264"/>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pacing w:line="560" w:lineRule="exact"/>
        <w:ind w:right="1264"/>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萧山区全面深化“最多跑一次”改革领导小组办公室</w:t>
      </w:r>
    </w:p>
    <w:p>
      <w:pPr>
        <w:keepNext w:val="0"/>
        <w:keepLines w:val="0"/>
        <w:pageBreakBefore w:val="0"/>
        <w:widowControl w:val="0"/>
        <w:kinsoku/>
        <w:wordWrap/>
        <w:overflowPunct/>
        <w:topLinePunct w:val="0"/>
        <w:autoSpaceDE/>
        <w:autoSpaceDN/>
        <w:bidi w:val="0"/>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(杭州市萧山区人民政府办事服务中心代章)</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2019年6月28日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小标宋" w:eastAsia="小标宋" w:cs="Times New Roman"/>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小标宋" w:eastAsia="小标宋" w:cs="Times New Roman"/>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小标宋" w:eastAsia="小标宋" w:cs="Times New Roman"/>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小标宋" w:eastAsia="小标宋" w:cs="Times New Roman"/>
          <w:color w:val="000000"/>
          <w:spacing w:val="0"/>
          <w:sz w:val="44"/>
          <w:szCs w:val="44"/>
          <w:lang w:val="en-US" w:eastAsia="zh-CN"/>
        </w:rPr>
      </w:pPr>
      <w:r>
        <w:rPr>
          <w:rFonts w:hint="eastAsia" w:ascii="小标宋" w:eastAsia="小标宋" w:cs="Times New Roman"/>
          <w:color w:val="000000"/>
          <w:spacing w:val="0"/>
          <w:sz w:val="44"/>
          <w:szCs w:val="44"/>
          <w:lang w:val="en-US" w:eastAsia="zh-CN"/>
        </w:rPr>
        <w:t>萧山区优化</w:t>
      </w:r>
      <w:bookmarkStart w:id="0" w:name="_Hlk12392149"/>
      <w:r>
        <w:rPr>
          <w:rFonts w:hint="eastAsia" w:ascii="小标宋" w:eastAsia="小标宋" w:cs="Times New Roman"/>
          <w:color w:val="000000"/>
          <w:spacing w:val="0"/>
          <w:sz w:val="44"/>
          <w:szCs w:val="44"/>
          <w:lang w:val="en-US" w:eastAsia="zh-CN"/>
        </w:rPr>
        <w:t>企业开办全流程“一件事”</w:t>
      </w:r>
      <w:bookmarkEnd w:id="0"/>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小标宋" w:eastAsia="小标宋" w:cs="Times New Roman"/>
          <w:color w:val="000000"/>
          <w:spacing w:val="0"/>
          <w:sz w:val="44"/>
          <w:szCs w:val="44"/>
          <w:lang w:val="en-US" w:eastAsia="zh-CN"/>
        </w:rPr>
      </w:pPr>
      <w:r>
        <w:rPr>
          <w:rFonts w:hint="eastAsia" w:ascii="小标宋" w:eastAsia="小标宋" w:cs="Times New Roman"/>
          <w:color w:val="000000"/>
          <w:spacing w:val="0"/>
          <w:sz w:val="44"/>
          <w:szCs w:val="44"/>
          <w:lang w:val="en-US" w:eastAsia="zh-CN"/>
        </w:rPr>
        <w:t>一日办结2.0行动方案</w:t>
      </w:r>
    </w:p>
    <w:p>
      <w:pPr>
        <w:spacing w:line="520" w:lineRule="exact"/>
        <w:ind w:firstLine="640" w:firstLineChars="200"/>
        <w:rPr>
          <w:rFonts w:hint="eastAsia" w:ascii="仿宋" w:hAnsi="仿宋" w:eastAsia="仿宋" w:cs="仿宋"/>
          <w:color w:val="000000"/>
          <w:sz w:val="32"/>
          <w:szCs w:val="32"/>
        </w:rPr>
      </w:pP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继续深入推进优化企业开办全流程“一件事”一日办结工作，持续优化我区营商环境，结合企业开办全流程“一件事”一日办结工作实施以来的经验，在《萧山区优化企业开办全流程“一件事”一日办结工作方案》取得良好成效的基础上，结合我区实际，特制定2.0行动方案。</w:t>
      </w:r>
    </w:p>
    <w:p>
      <w:pPr>
        <w:spacing w:line="5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一、工作目标</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严格按照“最多跑一次”的要求，以“一次都不用跑”为目标，本着“普惠、便捷、自主、精准”的原则，持续提升企业开办全程网上办、全程无纸化、全程“零见面”比例，在企业开办全流程“一件事”一日办结的基础上，继续优化“常态化企业开办专窗”设置，优化萧山“一窗受理平台”模式，充分贴近企业需求，体现政策普惠性，使萧山成为全国营商环境高地。</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二、工作举措</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萧山区优化企业开办全流程“一件事”一日办结2.0改革行动，由区市场监管局牵头，会同区级各部门，对标一流，目标领先，进一步提高企业开办便利度。</w:t>
      </w:r>
    </w:p>
    <w:p>
      <w:pPr>
        <w:spacing w:line="52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1.进一步拓展业务范围，推广无纸化、零见面审批</w:t>
      </w:r>
      <w:r>
        <w:rPr>
          <w:rFonts w:hint="eastAsia" w:ascii="仿宋" w:hAnsi="仿宋" w:eastAsia="仿宋" w:cs="仿宋"/>
          <w:color w:val="000000"/>
          <w:sz w:val="32"/>
          <w:szCs w:val="32"/>
        </w:rPr>
        <w:t>：在原有窗口现场办理和通过半流程网上申报后到窗口提交申请的基础上，鼓励通过全流程电子化设立登记申报的企业，领取营业执照时一并自主申请享受二合一、三合一、四合一套餐。（责任单位：区市场监督管理局，完成时间2019年6月底前）</w:t>
      </w:r>
    </w:p>
    <w:p>
      <w:pPr>
        <w:spacing w:line="52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2.进一步鼓励证章快递送达，提升办事体验感：</w:t>
      </w:r>
      <w:r>
        <w:rPr>
          <w:rFonts w:hint="eastAsia" w:ascii="仿宋" w:hAnsi="仿宋" w:eastAsia="仿宋" w:cs="仿宋"/>
          <w:color w:val="000000"/>
          <w:sz w:val="32"/>
          <w:szCs w:val="32"/>
        </w:rPr>
        <w:t>允许申请人申请照、章、发票、开户材料省内免费快递送达，彻底消除企业开办空间阻隔，提升群众办事体验感，提高满意率和最多跑一次率。（责任单位：区市场监督管理局、中国邮政集团公司杭州市萧山区分公司，完成时间2019年7月15日前）</w:t>
      </w:r>
    </w:p>
    <w:p>
      <w:pPr>
        <w:spacing w:line="52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3.进一步紧贴企业需求，开展分时分段办结：</w:t>
      </w:r>
      <w:r>
        <w:rPr>
          <w:rFonts w:hint="eastAsia" w:ascii="仿宋" w:hAnsi="仿宋" w:eastAsia="仿宋" w:cs="仿宋"/>
          <w:color w:val="000000"/>
          <w:sz w:val="32"/>
          <w:szCs w:val="32"/>
        </w:rPr>
        <w:t>允许企业分时、分段、多次 申请企业开办 “一件事”套餐，全区新办企业在专窗均可在任一时间点申请享受全流程套餐中任一环节（企业首套公章刻制、发票申领、银行开户），充分保障申请人自主性，充分体现政策普惠性。（责任单位：区市场监督管理局、区税务局、人行萧山支行，完成时间：2019年6月底前）</w:t>
      </w:r>
    </w:p>
    <w:p>
      <w:pPr>
        <w:spacing w:line="52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4.进一步加强咨询引导，拓展专窗内涵：</w:t>
      </w:r>
      <w:r>
        <w:rPr>
          <w:rFonts w:hint="eastAsia" w:ascii="仿宋" w:hAnsi="仿宋" w:eastAsia="仿宋" w:cs="仿宋"/>
          <w:color w:val="000000"/>
          <w:sz w:val="32"/>
          <w:szCs w:val="32"/>
        </w:rPr>
        <w:t>在区办事服务中心设置银行开户服务动态专区，根据申请企业需求，由开户银行携带移动终端设备至专区现场开户，并进行公益宣传及申请前引导工作。（责任单位：区办事服务中心，人行萧山支行，完成时间：2019年6月底前）</w:t>
      </w:r>
    </w:p>
    <w:p>
      <w:pPr>
        <w:spacing w:line="52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5.进一步取消证明材料，强化电子数据应用：</w:t>
      </w:r>
      <w:r>
        <w:rPr>
          <w:rFonts w:hint="eastAsia" w:ascii="仿宋" w:hAnsi="仿宋" w:eastAsia="仿宋" w:cs="仿宋"/>
          <w:color w:val="000000"/>
          <w:sz w:val="32"/>
          <w:szCs w:val="32"/>
        </w:rPr>
        <w:t>坚决将减证便民、优化服务作为最多跑一次改革的重要内容，取消发放企业登记核准通知书，各有关部门应加强电子政务数据运用，充分通过数据共享平台、国家企业信用信息公示系统、电子营业执照或扫描营业执照二维码等方式，通过电子数据获取有关企业信息，不应再要求或变相要求企业提供额外的证明文书。（责任单位：区市场监管局，完成时间2019年6月底前）</w:t>
      </w:r>
    </w:p>
    <w:p>
      <w:pPr>
        <w:spacing w:line="52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6.进一步优化软件支撑，实现全流程可选择、可量化、可监控：</w:t>
      </w:r>
      <w:r>
        <w:rPr>
          <w:rFonts w:hint="eastAsia" w:ascii="仿宋" w:hAnsi="仿宋" w:eastAsia="仿宋" w:cs="仿宋"/>
          <w:color w:val="000000"/>
          <w:sz w:val="32"/>
          <w:szCs w:val="32"/>
        </w:rPr>
        <w:t>由区信息中心牵头，扎根各部门审批、流转、展示需求，继续优化、开发流转提醒系统，实现企业开办全流程“一件事”一日办结全流程可量化、可监控、可知晓、可追溯、可选择、可展示，实现全流程网上闭环管理。（责任单位：区信息中心，完成时间：2019年7月5日前）</w:t>
      </w:r>
    </w:p>
    <w:p>
      <w:pPr>
        <w:widowControl w:val="0"/>
        <w:numPr>
          <w:ilvl w:val="0"/>
          <w:numId w:val="1"/>
        </w:numPr>
        <w:spacing w:line="520" w:lineRule="exact"/>
        <w:ind w:left="1360" w:hanging="720" w:firstLineChars="0"/>
        <w:jc w:val="both"/>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工作保障</w:t>
      </w:r>
    </w:p>
    <w:p>
      <w:pPr>
        <w:spacing w:line="52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1.提高认识落实责任：</w:t>
      </w:r>
      <w:r>
        <w:rPr>
          <w:rFonts w:hint="eastAsia" w:ascii="仿宋" w:hAnsi="仿宋" w:eastAsia="仿宋" w:cs="仿宋"/>
          <w:bCs/>
          <w:color w:val="000000"/>
          <w:sz w:val="32"/>
          <w:szCs w:val="32"/>
        </w:rPr>
        <w:t>各单位要切实贯彻“以人民为中心的发展思想”，牢牢把压缩企业开办时间、优化营商环境提高到深化“放管服”改革、推动民营经济高质量发展的重要高度，坚持问题导向、明确主体责任，不断推陈出新，全力落实工作持续扎实推进。</w:t>
      </w:r>
    </w:p>
    <w:p>
      <w:pPr>
        <w:spacing w:line="52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2.加强保障，强化落实：</w:t>
      </w:r>
      <w:r>
        <w:rPr>
          <w:rFonts w:hint="eastAsia" w:ascii="仿宋" w:hAnsi="仿宋" w:eastAsia="仿宋" w:cs="仿宋"/>
          <w:color w:val="000000"/>
          <w:sz w:val="32"/>
          <w:szCs w:val="32"/>
        </w:rPr>
        <w:t>在区委、区政府的统一领导下</w:t>
      </w:r>
      <w:r>
        <w:rPr>
          <w:rFonts w:hint="eastAsia" w:ascii="仿宋" w:hAnsi="仿宋" w:eastAsia="仿宋" w:cs="仿宋"/>
          <w:bCs/>
          <w:color w:val="000000"/>
          <w:sz w:val="32"/>
          <w:szCs w:val="32"/>
        </w:rPr>
        <w:t>，区市场监管局要充分发挥牵头作用，会同区办事服务中心、区公安分局、区税务局、区人社局、人行萧山分行、区财政局、区信息中心及各有关单位，持续对“压缩企业开办时间”改革相关工作积极提供政策、场地、人员、数据、资金等各方面支持保障，确保工作顺利推进、落地见效。</w:t>
      </w:r>
    </w:p>
    <w:p>
      <w:pPr>
        <w:spacing w:line="520" w:lineRule="exact"/>
        <w:ind w:firstLine="643" w:firstLineChars="200"/>
        <w:rPr>
          <w:rFonts w:hint="eastAsia" w:ascii="仿宋" w:hAnsi="仿宋" w:eastAsia="仿宋" w:cs="仿宋"/>
          <w:color w:val="000000"/>
          <w:sz w:val="24"/>
          <w:szCs w:val="24"/>
        </w:rPr>
      </w:pPr>
      <w:r>
        <w:rPr>
          <w:rFonts w:hint="eastAsia" w:ascii="仿宋" w:hAnsi="仿宋" w:eastAsia="仿宋" w:cs="仿宋"/>
          <w:b/>
          <w:bCs/>
          <w:color w:val="000000"/>
          <w:sz w:val="32"/>
          <w:szCs w:val="32"/>
        </w:rPr>
        <w:t>3.强化责任清单管理：</w:t>
      </w:r>
      <w:r>
        <w:rPr>
          <w:rFonts w:hint="eastAsia" w:ascii="仿宋" w:hAnsi="仿宋" w:eastAsia="仿宋" w:cs="仿宋"/>
          <w:color w:val="000000"/>
          <w:sz w:val="32"/>
          <w:szCs w:val="32"/>
        </w:rPr>
        <w:t>严格对照本方案责任分工和时间节点，坚持标本兼治、长短结合，确保相关工作实效长效，区跑改办与区市场监管局加强督查考核，对推诿扯皮、重视不够、执行不力、进度落后的，及时通报问题，严肃追究责任。</w:t>
      </w:r>
    </w:p>
    <w:p>
      <w:pPr>
        <w:rPr>
          <w:b/>
          <w:bCs/>
        </w:rPr>
      </w:pPr>
      <w:r>
        <w:rPr>
          <w:rFonts w:hint="eastAsia" w:ascii="Calibri" w:hAnsi="Calibri" w:eastAsia="宋体"/>
          <w:sz w:val="21"/>
          <w:szCs w:val="22"/>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398145</wp:posOffset>
                </wp:positionV>
                <wp:extent cx="5594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85pt;margin-top:31.35pt;height:0pt;width:440.5pt;z-index:251659264;mso-width-relative:page;mso-height-relative:page;" filled="f" stroked="t" coordsize="21600,21600" o:gfxdata="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7qfn1gAAAAkBAAAPAAAAAAAAAAEAIAAA&#10;ACIAAABkcnMvZG93bnJldi54bWxQSwECFAAUAAAACACHTuJAdO5owdUBAACYAwAADgAAAAAAAAAB&#10;ACAAAAAlAQAAZHJzL2Uyb0RvYy54bWxQSwUGAAAAAAYABgBZAQAAbAUAAAAA&#10;">
                <v:fill on="f" focussize="0,0"/>
                <v:stroke color="#000000" joinstyle="round"/>
                <v:imagedata o:title=""/>
                <o:lock v:ext="edit" aspectratio="f"/>
              </v:line>
            </w:pict>
          </mc:Fallback>
        </mc:AlternateContent>
      </w:r>
      <w:r>
        <w:rPr>
          <w:rFonts w:hint="eastAsia" w:ascii="Calibri" w:hAnsi="Calibri" w:eastAsia="宋体"/>
          <w:sz w:val="21"/>
          <w:szCs w:val="22"/>
        </w:rPr>
        <mc:AlternateContent>
          <mc:Choice Requires="wps">
            <w:drawing>
              <wp:anchor distT="0" distB="0" distL="114300" distR="114300" simplePos="0" relativeHeight="251658240" behindDoc="0" locked="0" layoutInCell="1" allowOverlap="1">
                <wp:simplePos x="0" y="0"/>
                <wp:positionH relativeFrom="column">
                  <wp:posOffset>-134620</wp:posOffset>
                </wp:positionH>
                <wp:positionV relativeFrom="paragraph">
                  <wp:posOffset>7620</wp:posOffset>
                </wp:positionV>
                <wp:extent cx="55943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943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6pt;margin-top:0.6pt;height:0pt;width:440.5pt;z-index:251658240;mso-width-relative:page;mso-height-relative:page;" filled="f" stroked="t" coordsize="21600,21600" o:gfxdata="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H5cdQAAAAHAQAADwAAAAAAAAABACAA&#10;AAAiAAAAZHJzL2Rvd25yZXYueG1sUEsBAhQAFAAAAAgAh07iQNnz04DYAQAAmAMAAA4AAAAAAAAA&#10;AQAgAAAAIw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pacing w:val="-28"/>
          <w:sz w:val="28"/>
          <w:szCs w:val="28"/>
        </w:rPr>
        <w:t>杭州市萧山区全面深化“最多跑一次”改革领导小组办公室   2019年6月28日印发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小标宋">
    <w:altName w:val="微软雅黑"/>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37E4"/>
    <w:multiLevelType w:val="multilevel"/>
    <w:tmpl w:val="11C737E4"/>
    <w:lvl w:ilvl="0" w:tentative="0">
      <w:start w:val="3"/>
      <w:numFmt w:val="japaneseCounting"/>
      <w:lvlText w:val="%1、"/>
      <w:lvlJc w:val="left"/>
      <w:pPr>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45BF"/>
    <w:rsid w:val="735545BF"/>
    <w:rsid w:val="784F6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2019-06-28T07:52:00Z</dcterms:created>
  <dc:creator>小耳朵</dc:creator>
  <cp:lastModifiedBy>小耳朵</cp:lastModifiedBy>
  <dcterms:modified xsi:type="dcterms:W3CDTF">2019-06-28T08:03:06Z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