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397" w:tblpY="1608"/>
        <w:tblW w:w="9108" w:type="dxa"/>
        <w:tblInd w:w="0" w:type="dxa"/>
        <w:tblLayout w:type="fixed"/>
        <w:tblCellMar>
          <w:top w:w="0" w:type="dxa"/>
          <w:left w:w="108" w:type="dxa"/>
          <w:bottom w:w="0" w:type="dxa"/>
          <w:right w:w="108" w:type="dxa"/>
        </w:tblCellMar>
      </w:tblPr>
      <w:tblGrid>
        <w:gridCol w:w="9108"/>
      </w:tblGrid>
      <w:tr>
        <w:tblPrEx>
          <w:tblLayout w:type="fixed"/>
          <w:tblCellMar>
            <w:top w:w="0" w:type="dxa"/>
            <w:left w:w="108" w:type="dxa"/>
            <w:bottom w:w="0" w:type="dxa"/>
            <w:right w:w="108" w:type="dxa"/>
          </w:tblCellMar>
        </w:tblPrEx>
        <w:trPr>
          <w:trHeight w:val="1402" w:hRule="atLeast"/>
        </w:trPr>
        <w:tc>
          <w:tcPr>
            <w:tcW w:w="9108" w:type="dxa"/>
            <w:noWrap w:val="0"/>
            <w:vAlign w:val="center"/>
          </w:tcPr>
          <w:p>
            <w:pPr>
              <w:spacing w:line="300" w:lineRule="auto"/>
              <w:jc w:val="center"/>
              <w:rPr>
                <w:rFonts w:hint="eastAsia" w:ascii="方正小标宋简体" w:hAnsi="Calibri" w:eastAsia="方正小标宋简体" w:cs="Calibri"/>
                <w:color w:val="FF0000"/>
                <w:spacing w:val="-20"/>
                <w:w w:val="70"/>
                <w:kern w:val="0"/>
                <w:sz w:val="72"/>
                <w:szCs w:val="72"/>
              </w:rPr>
            </w:pPr>
            <w:r>
              <w:rPr>
                <w:sz w:val="72"/>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836295</wp:posOffset>
                      </wp:positionV>
                      <wp:extent cx="5734050" cy="0"/>
                      <wp:effectExtent l="33655" t="24765" r="42545" b="89535"/>
                      <wp:wrapNone/>
                      <wp:docPr id="1" name="直接连接符 1"/>
                      <wp:cNvGraphicFramePr/>
                      <a:graphic xmlns:a="http://schemas.openxmlformats.org/drawingml/2006/main">
                        <a:graphicData uri="http://schemas.microsoft.com/office/word/2010/wordprocessingShape">
                          <wps:wsp>
                            <wps:cNvCnPr/>
                            <wps:spPr>
                              <a:xfrm>
                                <a:off x="865505" y="1906270"/>
                                <a:ext cx="5734050" cy="0"/>
                              </a:xfrm>
                              <a:prstGeom prst="line">
                                <a:avLst/>
                              </a:prstGeom>
                              <a:noFill/>
                              <a:ln w="28575" cap="flat" cmpd="sng" algn="ctr">
                                <a:solidFill>
                                  <a:srgbClr val="FF0000"/>
                                </a:solidFill>
                                <a:prstDash val="solid"/>
                              </a:ln>
                              <a:effectLst>
                                <a:outerShdw blurRad="40000" dist="23000" dir="5400000" rotWithShape="0">
                                  <a:srgbClr val="000000">
                                    <a:alpha val="35000"/>
                                  </a:srgbClr>
                                </a:outerShdw>
                              </a:effectLst>
                            </wps:spPr>
                            <wps:bodyPr/>
                          </wps:wsp>
                        </a:graphicData>
                      </a:graphic>
                    </wp:anchor>
                  </w:drawing>
                </mc:Choice>
                <mc:Fallback>
                  <w:pict>
                    <v:line id="_x0000_s1026" o:spid="_x0000_s1026" o:spt="20" style="position:absolute;left:0pt;margin-left:-1.65pt;margin-top:65.85pt;height:0pt;width:451.5pt;z-index:251658240;mso-width-relative:page;mso-height-relative:page;" filled="f" stroked="t" coordsize="21600,21600" o:gfxdata="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5rEW9gAAAAKAQAADwAA&#10;AAAAAAABACAAAAAiAAAAZHJzL2Rvd25yZXYueG1sUEsBAhQAFAAAAAgAh07iQN32ibkWAgAABAQA&#10;AA4AAAAAAAAAAQAgAAAAJwEAAGRycy9lMm9Eb2MueG1sUEsFBgAAAAAGAAYAWQEAAK8FAAAAAA==&#10;">
                      <v:fill on="f" focussize="0,0"/>
                      <v:stroke weight="2.25pt" color="#FF0000" joinstyle="round"/>
                      <v:imagedata o:title=""/>
                      <o:lock v:ext="edit" aspectratio="f"/>
                      <v:shadow on="t" color="#000000" opacity="22937f" offset="0pt,1.81102362204724pt" origin="0f,32768f" matrix="65536f,0f,0f,65536f"/>
                    </v:line>
                  </w:pict>
                </mc:Fallback>
              </mc:AlternateContent>
            </w:r>
            <w:r>
              <w:rPr>
                <w:rFonts w:hint="eastAsia" w:ascii="方正小标宋简体" w:hAnsi="Calibri" w:eastAsia="方正小标宋简体" w:cs="Calibri"/>
                <w:color w:val="FF0000"/>
                <w:w w:val="44"/>
                <w:kern w:val="0"/>
                <w:sz w:val="72"/>
                <w:szCs w:val="72"/>
                <w:fitText w:val="8893" w:id="0"/>
              </w:rPr>
              <w:t>杭州市萧山区全面深化“最多跑一次”改革领导小组办公室</w:t>
            </w:r>
          </w:p>
        </w:tc>
      </w:tr>
    </w:tbl>
    <w:p>
      <w:pPr>
        <w:keepNext w:val="0"/>
        <w:keepLines w:val="0"/>
        <w:pageBreakBefore w:val="0"/>
        <w:widowControl w:val="0"/>
        <w:kinsoku/>
        <w:wordWrap/>
        <w:overflowPunct/>
        <w:topLinePunct w:val="0"/>
        <w:autoSpaceDE/>
        <w:autoSpaceDN/>
        <w:bidi w:val="0"/>
        <w:adjustRightInd w:val="0"/>
        <w:snapToGrid w:val="0"/>
        <w:spacing w:before="0" w:beforeAutospacing="0" w:after="0" w:line="580" w:lineRule="exact"/>
        <w:jc w:val="center"/>
        <w:textAlignment w:val="auto"/>
        <w:outlineLvl w:val="9"/>
        <w:rPr>
          <w:rFonts w:hint="eastAsia" w:ascii="小标宋" w:hAnsi="Times New Roman" w:eastAsia="小标宋" w:cs="Times New Roman"/>
          <w:spacing w:val="-11"/>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Autospacing="0" w:after="0" w:line="580" w:lineRule="exact"/>
        <w:jc w:val="center"/>
        <w:textAlignment w:val="auto"/>
        <w:outlineLvl w:val="9"/>
        <w:rPr>
          <w:rFonts w:hint="eastAsia" w:ascii="小标宋" w:hAnsi="Times New Roman" w:eastAsia="小标宋" w:cs="Times New Roman"/>
          <w:spacing w:val="-11"/>
          <w:sz w:val="44"/>
          <w:szCs w:val="44"/>
          <w:lang w:val="en-US" w:eastAsia="zh-CN"/>
        </w:rPr>
      </w:pPr>
      <w:r>
        <w:rPr>
          <w:rFonts w:hint="eastAsia" w:ascii="小标宋" w:hAnsi="Times New Roman" w:eastAsia="小标宋" w:cs="Times New Roman"/>
          <w:spacing w:val="-11"/>
          <w:sz w:val="44"/>
          <w:szCs w:val="44"/>
          <w:lang w:val="en-US" w:eastAsia="zh-CN"/>
        </w:rPr>
        <w:t>关于加快推进我区民生事项</w:t>
      </w:r>
    </w:p>
    <w:p>
      <w:pPr>
        <w:keepNext w:val="0"/>
        <w:keepLines w:val="0"/>
        <w:pageBreakBefore w:val="0"/>
        <w:widowControl w:val="0"/>
        <w:kinsoku/>
        <w:wordWrap/>
        <w:overflowPunct/>
        <w:topLinePunct w:val="0"/>
        <w:autoSpaceDE/>
        <w:autoSpaceDN/>
        <w:bidi w:val="0"/>
        <w:adjustRightInd w:val="0"/>
        <w:snapToGrid w:val="0"/>
        <w:spacing w:before="0" w:beforeAutospacing="0" w:after="0" w:line="580" w:lineRule="exact"/>
        <w:ind w:firstLine="1672" w:firstLineChars="400"/>
        <w:jc w:val="both"/>
        <w:textAlignment w:val="auto"/>
        <w:outlineLvl w:val="9"/>
        <w:rPr>
          <w:rFonts w:hint="eastAsia" w:ascii="小标宋" w:hAnsi="Times New Roman" w:eastAsia="小标宋" w:cs="Times New Roman"/>
          <w:spacing w:val="-11"/>
          <w:sz w:val="44"/>
          <w:szCs w:val="44"/>
          <w:lang w:val="en-US" w:eastAsia="zh-CN"/>
        </w:rPr>
      </w:pPr>
      <w:r>
        <w:rPr>
          <w:rFonts w:hint="eastAsia" w:ascii="小标宋" w:hAnsi="Times New Roman" w:eastAsia="小标宋" w:cs="Times New Roman"/>
          <w:spacing w:val="-11"/>
          <w:sz w:val="44"/>
          <w:szCs w:val="44"/>
          <w:lang w:val="en-US" w:eastAsia="zh-CN"/>
        </w:rPr>
        <w:t>“一证通办”工作的通知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区级有关单位：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浙江省人民政府办公厅关于印发2019年浙江省深化“最多跑一次”改革推进政府数字化转型工作要点的通知》（浙政办发〔2019〕17号）和《浙江省大数据发展管理局关于加快推进民生事项“一证通办”工作的通知》要求</w:t>
      </w:r>
      <w:r>
        <w:rPr>
          <w:rFonts w:hint="eastAsia" w:ascii="仿宋" w:hAnsi="仿宋" w:eastAsia="仿宋" w:cs="仿宋"/>
          <w:sz w:val="32"/>
          <w:szCs w:val="32"/>
          <w:lang w:val="en-US" w:eastAsia="zh-CN"/>
        </w:rPr>
        <w:t>,今年，全省“一证通办”工作将在实体窗口“一证通办”的基础上，进一步向政务服务网电脑端、“浙里办”APP端延伸，实现多端“一证通办”。根据省大数据发展管理局的统一部署，</w:t>
      </w:r>
      <w:r>
        <w:rPr>
          <w:rFonts w:hint="eastAsia" w:ascii="仿宋" w:hAnsi="仿宋" w:eastAsia="仿宋" w:cs="仿宋"/>
          <w:sz w:val="32"/>
          <w:szCs w:val="32"/>
        </w:rPr>
        <w:t>现就有关</w:t>
      </w:r>
      <w:r>
        <w:rPr>
          <w:rFonts w:hint="eastAsia" w:ascii="仿宋" w:hAnsi="仿宋" w:eastAsia="仿宋" w:cs="仿宋"/>
          <w:sz w:val="32"/>
          <w:szCs w:val="32"/>
          <w:lang w:eastAsia="zh-CN"/>
        </w:rPr>
        <w:t>事项</w:t>
      </w:r>
      <w:r>
        <w:rPr>
          <w:rFonts w:hint="eastAsia" w:ascii="仿宋" w:hAnsi="仿宋" w:eastAsia="仿宋" w:cs="仿宋"/>
          <w:sz w:val="32"/>
          <w:szCs w:val="32"/>
        </w:rPr>
        <w:t>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主要工作内容</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（一）抓紧做好事项信息确认。</w:t>
      </w:r>
      <w:r>
        <w:rPr>
          <w:rFonts w:hint="eastAsia" w:ascii="仿宋" w:hAnsi="仿宋" w:eastAsia="仿宋" w:cs="仿宋"/>
          <w:sz w:val="32"/>
          <w:szCs w:val="32"/>
          <w:lang w:val="en-US" w:eastAsia="zh-CN"/>
        </w:rPr>
        <w:t>省大数据局已梳理下发《</w:t>
      </w: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证通办”民生事项清单</w:t>
      </w:r>
      <w:r>
        <w:rPr>
          <w:rFonts w:hint="eastAsia" w:ascii="仿宋" w:hAnsi="仿宋" w:eastAsia="仿宋" w:cs="仿宋"/>
          <w:sz w:val="32"/>
          <w:szCs w:val="32"/>
          <w:lang w:val="en-US" w:eastAsia="zh-CN"/>
        </w:rPr>
        <w:t>》（附件2），请各部门对照事项清单，认真填好相关确认信息，扣清事项底数。对事项清单中“</w:t>
      </w:r>
      <w:r>
        <w:rPr>
          <w:rFonts w:hint="eastAsia" w:ascii="仿宋" w:hAnsi="仿宋" w:eastAsia="仿宋" w:cs="仿宋"/>
          <w:sz w:val="32"/>
          <w:szCs w:val="32"/>
        </w:rPr>
        <w:t>系统建设层级</w:t>
      </w:r>
      <w:r>
        <w:rPr>
          <w:rFonts w:hint="eastAsia" w:ascii="仿宋" w:hAnsi="仿宋" w:eastAsia="仿宋" w:cs="仿宋"/>
          <w:sz w:val="32"/>
          <w:szCs w:val="32"/>
          <w:lang w:val="en-US" w:eastAsia="zh-CN"/>
        </w:rPr>
        <w:t>”为“市县”级的，进一步确认是否为区本级；确认事项是否能在浙江省政务服务网、“浙里办”APP办理。（牵头单位：区办事服务中心；责任单位：各相关部门；完成时间：2019年5月21日）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完善事项颗粒度细化。</w:t>
      </w:r>
      <w:r>
        <w:rPr>
          <w:rFonts w:hint="eastAsia" w:ascii="仿宋" w:hAnsi="仿宋" w:eastAsia="仿宋" w:cs="仿宋"/>
          <w:sz w:val="32"/>
          <w:szCs w:val="32"/>
        </w:rPr>
        <w:t>根据省委改革办（省跑改办）工作部署，</w:t>
      </w:r>
      <w:r>
        <w:rPr>
          <w:rFonts w:hint="eastAsia" w:ascii="仿宋" w:hAnsi="仿宋" w:eastAsia="仿宋" w:cs="仿宋"/>
          <w:sz w:val="32"/>
          <w:szCs w:val="32"/>
          <w:lang w:eastAsia="zh-CN"/>
        </w:rPr>
        <w:t>由省市统筹开展民生事项事项颗粒度细化工作，并</w:t>
      </w:r>
      <w:r>
        <w:rPr>
          <w:rFonts w:hint="eastAsia" w:ascii="仿宋" w:hAnsi="仿宋" w:eastAsia="仿宋" w:cs="仿宋"/>
          <w:sz w:val="32"/>
          <w:szCs w:val="32"/>
        </w:rPr>
        <w:t>录入“浙江政务服务网行政权力和公共服务事项管理系统”，形成动态更新机制。</w:t>
      </w:r>
      <w:r>
        <w:rPr>
          <w:rFonts w:hint="eastAsia" w:ascii="仿宋" w:hAnsi="仿宋" w:eastAsia="仿宋" w:cs="仿宋"/>
          <w:sz w:val="32"/>
          <w:szCs w:val="32"/>
          <w:lang w:eastAsia="zh-CN"/>
        </w:rPr>
        <w:t>此项工作时间进度根据省市的统筹推进，请各单位主动与上级部门对接，及时跟进，抓紧落实。（责任单位：</w:t>
      </w:r>
      <w:r>
        <w:rPr>
          <w:rFonts w:hint="eastAsia" w:ascii="仿宋" w:hAnsi="仿宋" w:eastAsia="仿宋" w:cs="仿宋"/>
          <w:sz w:val="32"/>
          <w:szCs w:val="32"/>
          <w:lang w:val="en-US" w:eastAsia="zh-CN"/>
        </w:rPr>
        <w:t>各相关部门</w:t>
      </w:r>
      <w:r>
        <w:rPr>
          <w:rFonts w:hint="eastAsia" w:ascii="仿宋" w:hAnsi="仿宋" w:eastAsia="仿宋" w:cs="仿宋"/>
          <w:sz w:val="32"/>
          <w:szCs w:val="32"/>
          <w:lang w:eastAsia="zh-CN"/>
        </w:rPr>
        <w:t>；完成时间：根据省市的统一部署）</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（三）确认</w:t>
      </w:r>
      <w:r>
        <w:rPr>
          <w:rFonts w:hint="eastAsia" w:ascii="楷体" w:hAnsi="楷体" w:eastAsia="楷体" w:cs="楷体"/>
          <w:b/>
          <w:bCs/>
          <w:sz w:val="32"/>
          <w:szCs w:val="32"/>
        </w:rPr>
        <w:t>数据共享需求。</w:t>
      </w:r>
      <w:r>
        <w:rPr>
          <w:rFonts w:hint="eastAsia" w:ascii="仿宋" w:hAnsi="仿宋" w:eastAsia="仿宋" w:cs="仿宋"/>
          <w:sz w:val="32"/>
          <w:szCs w:val="32"/>
          <w:lang w:eastAsia="zh-CN"/>
        </w:rPr>
        <w:t>业务系统为区本级自建的，请各单位</w:t>
      </w:r>
      <w:r>
        <w:rPr>
          <w:rFonts w:hint="eastAsia" w:ascii="仿宋" w:hAnsi="仿宋" w:eastAsia="仿宋" w:cs="仿宋"/>
          <w:sz w:val="32"/>
          <w:szCs w:val="32"/>
        </w:rPr>
        <w:t>进一步梳理明确</w:t>
      </w:r>
      <w:r>
        <w:rPr>
          <w:rFonts w:hint="eastAsia" w:ascii="仿宋" w:hAnsi="仿宋" w:eastAsia="仿宋" w:cs="仿宋"/>
          <w:sz w:val="32"/>
          <w:szCs w:val="32"/>
          <w:lang w:eastAsia="zh-CN"/>
        </w:rPr>
        <w:t>事项实现“一证通办”所需的</w:t>
      </w:r>
      <w:r>
        <w:rPr>
          <w:rFonts w:hint="eastAsia" w:ascii="仿宋" w:hAnsi="仿宋" w:eastAsia="仿宋" w:cs="仿宋"/>
          <w:sz w:val="32"/>
          <w:szCs w:val="32"/>
        </w:rPr>
        <w:t>数据共享需求，</w:t>
      </w:r>
      <w:r>
        <w:rPr>
          <w:rFonts w:hint="eastAsia" w:ascii="仿宋" w:hAnsi="仿宋" w:eastAsia="仿宋" w:cs="仿宋"/>
          <w:sz w:val="32"/>
          <w:szCs w:val="32"/>
          <w:lang w:eastAsia="zh-CN"/>
        </w:rPr>
        <w:t>并</w:t>
      </w:r>
      <w:r>
        <w:rPr>
          <w:rFonts w:hint="eastAsia" w:ascii="仿宋" w:hAnsi="仿宋" w:eastAsia="仿宋" w:cs="仿宋"/>
          <w:sz w:val="32"/>
          <w:szCs w:val="32"/>
        </w:rPr>
        <w:t>将需求调整情况及时录入“浙江省公共数据平台普查系统”，具体详见《事项数据共享需求梳理操作手册》</w:t>
      </w:r>
      <w:r>
        <w:rPr>
          <w:rFonts w:hint="eastAsia" w:ascii="仿宋" w:hAnsi="仿宋" w:eastAsia="仿宋" w:cs="仿宋"/>
          <w:sz w:val="32"/>
          <w:szCs w:val="32"/>
          <w:lang w:eastAsia="zh-CN"/>
        </w:rPr>
        <w:t>；</w:t>
      </w:r>
      <w:r>
        <w:rPr>
          <w:rFonts w:hint="eastAsia" w:ascii="仿宋" w:hAnsi="仿宋" w:eastAsia="仿宋" w:cs="仿宋"/>
          <w:sz w:val="32"/>
          <w:szCs w:val="32"/>
        </w:rPr>
        <w:t>各单位自行开发的数据接口要集中注册至</w:t>
      </w:r>
      <w:r>
        <w:rPr>
          <w:rFonts w:hint="eastAsia" w:ascii="仿宋" w:hAnsi="仿宋" w:eastAsia="仿宋" w:cs="仿宋"/>
          <w:sz w:val="32"/>
          <w:szCs w:val="32"/>
          <w:lang w:eastAsia="zh-CN"/>
        </w:rPr>
        <w:t>“</w:t>
      </w:r>
      <w:r>
        <w:rPr>
          <w:rFonts w:hint="eastAsia" w:ascii="仿宋" w:hAnsi="仿宋" w:eastAsia="仿宋" w:cs="仿宋"/>
          <w:sz w:val="32"/>
          <w:szCs w:val="32"/>
        </w:rPr>
        <w:t>省公共数据共享平台</w:t>
      </w:r>
      <w:r>
        <w:rPr>
          <w:rFonts w:hint="eastAsia" w:ascii="仿宋" w:hAnsi="仿宋" w:eastAsia="仿宋" w:cs="仿宋"/>
          <w:sz w:val="32"/>
          <w:szCs w:val="32"/>
          <w:lang w:eastAsia="zh-CN"/>
        </w:rPr>
        <w:t>”</w:t>
      </w:r>
      <w:r>
        <w:rPr>
          <w:rFonts w:hint="eastAsia" w:ascii="仿宋" w:hAnsi="仿宋" w:eastAsia="仿宋" w:cs="仿宋"/>
          <w:sz w:val="32"/>
          <w:szCs w:val="32"/>
        </w:rPr>
        <w:t>，与该平台统一开发的数据接口一并供全省“一证通办”事项调用。</w:t>
      </w:r>
      <w:r>
        <w:rPr>
          <w:rFonts w:hint="eastAsia" w:ascii="仿宋" w:hAnsi="仿宋" w:eastAsia="仿宋" w:cs="仿宋"/>
          <w:sz w:val="32"/>
          <w:szCs w:val="32"/>
          <w:lang w:eastAsia="zh-CN"/>
        </w:rPr>
        <w:t>（牵头单位：区数据资源局；责任单位：</w:t>
      </w:r>
      <w:r>
        <w:rPr>
          <w:rFonts w:hint="eastAsia" w:ascii="仿宋" w:hAnsi="仿宋" w:eastAsia="仿宋" w:cs="仿宋"/>
          <w:sz w:val="32"/>
          <w:szCs w:val="32"/>
          <w:lang w:val="en-US" w:eastAsia="zh-CN"/>
        </w:rPr>
        <w:t>各相关部门</w:t>
      </w:r>
      <w:r>
        <w:rPr>
          <w:rFonts w:hint="eastAsia" w:ascii="仿宋" w:hAnsi="仿宋" w:eastAsia="仿宋" w:cs="仿宋"/>
          <w:sz w:val="32"/>
          <w:szCs w:val="32"/>
          <w:lang w:eastAsia="zh-CN"/>
        </w:rPr>
        <w:t>；完成时间：</w:t>
      </w:r>
      <w:r>
        <w:rPr>
          <w:rFonts w:hint="eastAsia" w:ascii="仿宋" w:hAnsi="仿宋" w:eastAsia="仿宋" w:cs="仿宋"/>
          <w:sz w:val="32"/>
          <w:szCs w:val="32"/>
          <w:lang w:val="en-US" w:eastAsia="zh-CN"/>
        </w:rPr>
        <w:t>5月30日前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实现多端“一证通办”。</w:t>
      </w:r>
      <w:r>
        <w:rPr>
          <w:rFonts w:hint="eastAsia" w:ascii="仿宋" w:hAnsi="仿宋" w:eastAsia="仿宋" w:cs="仿宋"/>
          <w:sz w:val="32"/>
          <w:szCs w:val="32"/>
        </w:rPr>
        <w:t>利用浙江政务服务网业务中台，改造事项所涉及的窗口收件端、浙江政务服务网电脑端、“浙里办”移动客户端办事界面，基于省市两级公共数据共享平台，通过数据共享实现自动填写表单、减免办事材料，做到“一证通办”，争取“一键办理”。</w:t>
      </w:r>
      <w:r>
        <w:rPr>
          <w:rFonts w:hint="eastAsia" w:ascii="仿宋" w:hAnsi="仿宋" w:eastAsia="仿宋" w:cs="仿宋"/>
          <w:sz w:val="32"/>
          <w:szCs w:val="32"/>
          <w:lang w:eastAsia="zh-CN"/>
        </w:rPr>
        <w:t>系统建设层级为省市的事项，由省市负责改造；系统建设层级为区级的，由区数据资源局牵头，相关单位配合实施。</w:t>
      </w:r>
      <w:r>
        <w:rPr>
          <w:rFonts w:hint="eastAsia" w:ascii="仿宋" w:hAnsi="仿宋" w:eastAsia="仿宋" w:cs="仿宋"/>
          <w:sz w:val="32"/>
          <w:szCs w:val="32"/>
          <w:lang w:val="en-US" w:eastAsia="zh-CN"/>
        </w:rPr>
        <w:t>5月20日前完成20%的区本级建设事项；</w:t>
      </w:r>
      <w:r>
        <w:rPr>
          <w:rFonts w:hint="eastAsia" w:ascii="仿宋" w:hAnsi="仿宋" w:eastAsia="仿宋" w:cs="仿宋"/>
          <w:sz w:val="32"/>
          <w:szCs w:val="32"/>
        </w:rPr>
        <w:t>6月17日前完成60%的</w:t>
      </w:r>
      <w:r>
        <w:rPr>
          <w:rFonts w:hint="eastAsia" w:ascii="仿宋" w:hAnsi="仿宋" w:eastAsia="仿宋" w:cs="仿宋"/>
          <w:sz w:val="32"/>
          <w:szCs w:val="32"/>
          <w:lang w:eastAsia="zh-CN"/>
        </w:rPr>
        <w:t>区本级</w:t>
      </w:r>
      <w:r>
        <w:rPr>
          <w:rFonts w:hint="eastAsia" w:ascii="仿宋" w:hAnsi="仿宋" w:eastAsia="仿宋" w:cs="仿宋"/>
          <w:sz w:val="32"/>
          <w:szCs w:val="32"/>
        </w:rPr>
        <w:t>建设事项，7月17日前完成100%的</w:t>
      </w:r>
      <w:r>
        <w:rPr>
          <w:rFonts w:hint="eastAsia" w:ascii="仿宋" w:hAnsi="仿宋" w:eastAsia="仿宋" w:cs="仿宋"/>
          <w:sz w:val="32"/>
          <w:szCs w:val="32"/>
          <w:lang w:eastAsia="zh-CN"/>
        </w:rPr>
        <w:t>区本级</w:t>
      </w:r>
      <w:r>
        <w:rPr>
          <w:rFonts w:hint="eastAsia" w:ascii="仿宋" w:hAnsi="仿宋" w:eastAsia="仿宋" w:cs="仿宋"/>
          <w:sz w:val="32"/>
          <w:szCs w:val="32"/>
        </w:rPr>
        <w:t>建设事项。具体详见《浙江政务服务网办事系统对接改造要求》和《浙江政务服务网业务中台（应用支撑服务）技术指引》。</w:t>
      </w:r>
      <w:r>
        <w:rPr>
          <w:rFonts w:hint="eastAsia" w:ascii="仿宋" w:hAnsi="仿宋" w:eastAsia="仿宋" w:cs="仿宋"/>
          <w:sz w:val="32"/>
          <w:szCs w:val="32"/>
          <w:lang w:eastAsia="zh-CN"/>
        </w:rPr>
        <w:t>（牵头单位：区数据资源局；责任单位：各相关部门；完成时间：</w:t>
      </w:r>
      <w:r>
        <w:rPr>
          <w:rFonts w:hint="eastAsia" w:ascii="仿宋" w:hAnsi="仿宋" w:eastAsia="仿宋" w:cs="仿宋"/>
          <w:sz w:val="32"/>
          <w:szCs w:val="32"/>
          <w:lang w:val="en-US" w:eastAsia="zh-CN"/>
        </w:rPr>
        <w:t>2019年7月17日前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五</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简化</w:t>
      </w:r>
      <w:r>
        <w:rPr>
          <w:rFonts w:hint="eastAsia" w:ascii="楷体_GB2312" w:hAnsi="楷体_GB2312" w:eastAsia="楷体_GB2312" w:cs="楷体_GB2312"/>
          <w:b/>
          <w:bCs/>
          <w:sz w:val="32"/>
          <w:szCs w:val="32"/>
          <w:lang w:eastAsia="zh-CN"/>
        </w:rPr>
        <w:t>办事指南及</w:t>
      </w:r>
      <w:r>
        <w:rPr>
          <w:rFonts w:hint="eastAsia" w:ascii="楷体_GB2312" w:hAnsi="楷体_GB2312" w:eastAsia="楷体_GB2312" w:cs="楷体_GB2312"/>
          <w:b/>
          <w:bCs/>
          <w:sz w:val="32"/>
          <w:szCs w:val="32"/>
        </w:rPr>
        <w:t>申报</w:t>
      </w:r>
      <w:r>
        <w:rPr>
          <w:rFonts w:hint="eastAsia" w:ascii="楷体_GB2312" w:hAnsi="楷体_GB2312" w:eastAsia="楷体_GB2312" w:cs="楷体_GB2312"/>
          <w:b/>
          <w:bCs/>
          <w:sz w:val="32"/>
          <w:szCs w:val="32"/>
          <w:lang w:eastAsia="zh-CN"/>
        </w:rPr>
        <w:t>材料</w:t>
      </w:r>
      <w:r>
        <w:rPr>
          <w:rFonts w:hint="eastAsia" w:ascii="楷体_GB2312" w:hAnsi="楷体_GB2312" w:eastAsia="楷体_GB2312" w:cs="楷体_GB2312"/>
          <w:b/>
          <w:bCs/>
          <w:sz w:val="32"/>
          <w:szCs w:val="32"/>
        </w:rPr>
        <w:t>。</w:t>
      </w:r>
      <w:r>
        <w:rPr>
          <w:rFonts w:hint="eastAsia" w:ascii="仿宋" w:hAnsi="仿宋" w:eastAsia="仿宋" w:cs="仿宋"/>
          <w:sz w:val="32"/>
          <w:szCs w:val="32"/>
          <w:lang w:eastAsia="zh-CN"/>
        </w:rPr>
        <w:t>事项完成改造后，同步做好办事指南及申报材料的简化。实体窗口端仅凭身份证即可办理；</w:t>
      </w:r>
      <w:r>
        <w:rPr>
          <w:rFonts w:hint="eastAsia" w:ascii="仿宋" w:hAnsi="仿宋" w:eastAsia="仿宋" w:cs="仿宋"/>
          <w:sz w:val="32"/>
          <w:szCs w:val="32"/>
        </w:rPr>
        <w:t>要求群众填写的纸质申报表</w:t>
      </w:r>
      <w:r>
        <w:rPr>
          <w:rFonts w:hint="eastAsia" w:ascii="仿宋" w:hAnsi="仿宋" w:eastAsia="仿宋" w:cs="仿宋"/>
          <w:sz w:val="32"/>
          <w:szCs w:val="32"/>
          <w:lang w:eastAsia="zh-CN"/>
        </w:rPr>
        <w:t>中</w:t>
      </w:r>
      <w:r>
        <w:rPr>
          <w:rFonts w:hint="eastAsia" w:ascii="仿宋" w:hAnsi="仿宋" w:eastAsia="仿宋" w:cs="仿宋"/>
          <w:sz w:val="32"/>
          <w:szCs w:val="32"/>
        </w:rPr>
        <w:t>已实现数据共享调用的字段</w:t>
      </w:r>
      <w:r>
        <w:rPr>
          <w:rFonts w:hint="eastAsia" w:ascii="仿宋" w:hAnsi="仿宋" w:eastAsia="仿宋" w:cs="仿宋"/>
          <w:sz w:val="32"/>
          <w:szCs w:val="32"/>
          <w:lang w:eastAsia="zh-CN"/>
        </w:rPr>
        <w:t>信息</w:t>
      </w:r>
      <w:r>
        <w:rPr>
          <w:rFonts w:hint="eastAsia" w:ascii="仿宋" w:hAnsi="仿宋" w:eastAsia="仿宋" w:cs="仿宋"/>
          <w:sz w:val="32"/>
          <w:szCs w:val="32"/>
        </w:rPr>
        <w:t>，不再要求</w:t>
      </w:r>
      <w:r>
        <w:rPr>
          <w:rFonts w:hint="eastAsia" w:ascii="仿宋" w:hAnsi="仿宋" w:eastAsia="仿宋" w:cs="仿宋"/>
          <w:sz w:val="32"/>
          <w:szCs w:val="32"/>
          <w:lang w:eastAsia="zh-CN"/>
        </w:rPr>
        <w:t>办事群众</w:t>
      </w:r>
      <w:r>
        <w:rPr>
          <w:rFonts w:hint="eastAsia" w:ascii="仿宋" w:hAnsi="仿宋" w:eastAsia="仿宋" w:cs="仿宋"/>
          <w:sz w:val="32"/>
          <w:szCs w:val="32"/>
        </w:rPr>
        <w:t>填写。</w:t>
      </w:r>
      <w:r>
        <w:rPr>
          <w:rFonts w:hint="eastAsia" w:ascii="仿宋" w:hAnsi="仿宋" w:eastAsia="仿宋" w:cs="仿宋"/>
          <w:sz w:val="32"/>
          <w:szCs w:val="32"/>
          <w:lang w:eastAsia="zh-CN"/>
        </w:rPr>
        <w:t>线上端同步</w:t>
      </w:r>
      <w:r>
        <w:rPr>
          <w:rFonts w:hint="eastAsia" w:ascii="仿宋" w:hAnsi="仿宋" w:eastAsia="仿宋" w:cs="仿宋"/>
          <w:sz w:val="32"/>
          <w:szCs w:val="32"/>
        </w:rPr>
        <w:t>更新“申报材料”中标准化申报表的空白表格、示例表格，设置部分材料为“系统自动获取”，勾选“一证通办”实现情况。具体参见《“一证通办”事项办事指南信息修改要求》（附件2）。</w:t>
      </w:r>
      <w:r>
        <w:rPr>
          <w:rFonts w:hint="eastAsia" w:ascii="仿宋" w:hAnsi="仿宋" w:eastAsia="仿宋" w:cs="仿宋"/>
          <w:sz w:val="32"/>
          <w:szCs w:val="32"/>
          <w:lang w:eastAsia="zh-CN"/>
        </w:rPr>
        <w:t>（责任单位</w:t>
      </w:r>
      <w:r>
        <w:rPr>
          <w:rFonts w:hint="eastAsia" w:ascii="仿宋" w:hAnsi="仿宋" w:eastAsia="仿宋" w:cs="仿宋"/>
          <w:sz w:val="32"/>
          <w:szCs w:val="32"/>
          <w:lang w:val="en-US" w:eastAsia="zh-CN"/>
        </w:rPr>
        <w:t>:各相关部门；完成时间：2019年7月17日前，具体根据事项实现时间同步完成</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工作保障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_GB2312" w:hAnsi="仿宋_GB2312" w:eastAsia="楷体_GB2312" w:cs="仿宋_GB2312"/>
          <w:b/>
          <w:bCs/>
          <w:sz w:val="32"/>
          <w:szCs w:val="32"/>
        </w:rPr>
        <w:t>（一）建立工作联络机制。</w:t>
      </w:r>
      <w:r>
        <w:rPr>
          <w:rFonts w:hint="eastAsia" w:ascii="仿宋" w:hAnsi="仿宋" w:eastAsia="仿宋" w:cs="仿宋"/>
          <w:sz w:val="32"/>
          <w:szCs w:val="32"/>
          <w:lang w:eastAsia="zh-CN"/>
        </w:rPr>
        <w:t>“一证通办”是今年全省的重点工作，时间紧、任务重、要求高，请各单位高度重视，安排专人负责此项工作，</w:t>
      </w:r>
      <w:r>
        <w:rPr>
          <w:rFonts w:hint="eastAsia" w:ascii="仿宋" w:hAnsi="仿宋" w:eastAsia="仿宋" w:cs="仿宋"/>
          <w:sz w:val="32"/>
          <w:szCs w:val="32"/>
          <w:lang w:val="en-US" w:eastAsia="zh-CN"/>
        </w:rPr>
        <w:t>5月21日前填报分管领导、具体工作负责人各一名（附件1），并</w:t>
      </w:r>
      <w:r>
        <w:rPr>
          <w:rFonts w:hint="eastAsia" w:ascii="仿宋" w:hAnsi="仿宋" w:eastAsia="仿宋" w:cs="仿宋"/>
          <w:sz w:val="32"/>
          <w:szCs w:val="32"/>
        </w:rPr>
        <w:t>搜索钉钉群号21725974加入“萧山区政务服务网工作群”。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（二）建立进度反馈机制。</w:t>
      </w:r>
      <w:r>
        <w:rPr>
          <w:rFonts w:hint="eastAsia" w:ascii="仿宋" w:hAnsi="仿宋" w:eastAsia="仿宋" w:cs="仿宋"/>
          <w:sz w:val="32"/>
          <w:szCs w:val="32"/>
          <w:lang w:eastAsia="zh-CN"/>
        </w:rPr>
        <w:t>根据省大数据发展管理局的要求，请各单位于</w:t>
      </w:r>
      <w:r>
        <w:rPr>
          <w:rFonts w:hint="eastAsia" w:ascii="仿宋" w:hAnsi="仿宋" w:eastAsia="仿宋" w:cs="仿宋"/>
          <w:sz w:val="32"/>
          <w:szCs w:val="32"/>
        </w:rPr>
        <w:t>每月17日前报送本单位建设事项的《“一证通办”实现进度反馈表》（附件3）和已完成事项网上办事、掌上办事、窗口收件界面截图，通过钉钉群报送区</w:t>
      </w:r>
      <w:r>
        <w:rPr>
          <w:rFonts w:hint="eastAsia" w:ascii="仿宋" w:hAnsi="仿宋" w:eastAsia="仿宋" w:cs="仿宋"/>
          <w:sz w:val="32"/>
          <w:szCs w:val="32"/>
          <w:lang w:eastAsia="zh-CN"/>
        </w:rPr>
        <w:t>数据资源局汇总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（三）建立督查通报机制。</w:t>
      </w:r>
      <w:r>
        <w:rPr>
          <w:rFonts w:hint="eastAsia" w:ascii="仿宋" w:hAnsi="仿宋" w:eastAsia="仿宋" w:cs="仿宋"/>
          <w:sz w:val="32"/>
          <w:szCs w:val="32"/>
        </w:rPr>
        <w:t>省大数据局将对照</w:t>
      </w:r>
      <w:r>
        <w:rPr>
          <w:rFonts w:hint="eastAsia" w:ascii="仿宋" w:hAnsi="仿宋" w:eastAsia="仿宋" w:cs="仿宋"/>
          <w:sz w:val="32"/>
          <w:szCs w:val="32"/>
          <w:lang w:eastAsia="zh-CN"/>
        </w:rPr>
        <w:t>区县工作进度</w:t>
      </w:r>
      <w:r>
        <w:rPr>
          <w:rFonts w:hint="eastAsia" w:ascii="仿宋" w:hAnsi="仿宋" w:eastAsia="仿宋" w:cs="仿宋"/>
          <w:sz w:val="32"/>
          <w:szCs w:val="32"/>
        </w:rPr>
        <w:t>反馈表逐项查验，并根据各地各单位推送的数据接口调用日志统计分析实施情况报省领导，对于未按时完成的地区、单位，将进行</w:t>
      </w:r>
      <w:r>
        <w:rPr>
          <w:rFonts w:hint="eastAsia" w:ascii="仿宋" w:hAnsi="仿宋" w:eastAsia="仿宋" w:cs="仿宋"/>
          <w:sz w:val="32"/>
          <w:szCs w:val="32"/>
          <w:lang w:eastAsia="zh-CN"/>
        </w:rPr>
        <w:t>全省</w:t>
      </w:r>
      <w:r>
        <w:rPr>
          <w:rFonts w:hint="eastAsia" w:ascii="仿宋" w:hAnsi="仿宋" w:eastAsia="仿宋" w:cs="仿宋"/>
          <w:sz w:val="32"/>
          <w:szCs w:val="32"/>
        </w:rPr>
        <w:t>通报。</w:t>
      </w:r>
      <w:r>
        <w:rPr>
          <w:rFonts w:hint="eastAsia" w:ascii="仿宋" w:hAnsi="仿宋" w:eastAsia="仿宋" w:cs="仿宋"/>
          <w:sz w:val="32"/>
          <w:szCs w:val="32"/>
          <w:lang w:eastAsia="zh-CN"/>
        </w:rPr>
        <w:t>区办事服务中心、区数据资源局届时也将根据省里的要求做好区内督查通报。请各单位高度重视、抓紧落实。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相关方案、操作手册，均请通过政务外网在http://</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gmuser.zjzwfw.gov.cn或 “萧山区政务服务网工作群”（钉钉群号21725974）下载</w:t>
      </w:r>
      <w:r>
        <w:rPr>
          <w:rFonts w:hint="eastAsia" w:ascii="仿宋" w:hAnsi="仿宋" w:eastAsia="仿宋" w:cs="仿宋"/>
          <w:sz w:val="32"/>
          <w:szCs w:val="32"/>
          <w:lang w:eastAsia="zh-CN"/>
        </w:rPr>
        <w:t>。事项梳理确认如有不明，请联系区办事服务中心；系统改造、政务服务网、“浙里办”</w:t>
      </w:r>
      <w:r>
        <w:rPr>
          <w:rFonts w:hint="eastAsia" w:ascii="仿宋" w:hAnsi="仿宋" w:eastAsia="仿宋" w:cs="仿宋"/>
          <w:sz w:val="32"/>
          <w:szCs w:val="32"/>
          <w:lang w:val="en-US" w:eastAsia="zh-CN"/>
        </w:rPr>
        <w:t>APP等如有不明，请联系区数据资源局。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eastAsia="zh-CN"/>
        </w:rPr>
        <w:t>：区办事服务中心</w:t>
      </w:r>
      <w:r>
        <w:rPr>
          <w:rFonts w:hint="eastAsia" w:ascii="仿宋" w:hAnsi="仿宋" w:eastAsia="仿宋" w:cs="仿宋"/>
          <w:sz w:val="32"/>
          <w:szCs w:val="32"/>
          <w:lang w:val="en-US" w:eastAsia="zh-CN"/>
        </w:rPr>
        <w:t>王勤，联系电话：82899723；区数据局</w:t>
      </w:r>
      <w:r>
        <w:rPr>
          <w:rFonts w:hint="eastAsia" w:ascii="仿宋" w:hAnsi="仿宋" w:eastAsia="仿宋" w:cs="仿宋"/>
          <w:sz w:val="32"/>
          <w:szCs w:val="32"/>
        </w:rPr>
        <w:t>徐国炬</w:t>
      </w:r>
      <w:r>
        <w:rPr>
          <w:rFonts w:hint="eastAsia" w:ascii="仿宋" w:hAnsi="仿宋" w:eastAsia="仿宋" w:cs="仿宋"/>
          <w:sz w:val="32"/>
          <w:szCs w:val="32"/>
          <w:lang w:eastAsia="zh-CN"/>
        </w:rPr>
        <w:t>、徐利峰，电话：</w:t>
      </w:r>
      <w:bookmarkStart w:id="0" w:name="_GoBack"/>
      <w:bookmarkEnd w:id="0"/>
      <w:r>
        <w:rPr>
          <w:rFonts w:hint="eastAsia" w:ascii="仿宋" w:hAnsi="仿宋" w:eastAsia="仿宋" w:cs="仿宋"/>
          <w:sz w:val="32"/>
          <w:szCs w:val="32"/>
        </w:rPr>
        <w:t>82898</w:t>
      </w:r>
      <w:r>
        <w:rPr>
          <w:rFonts w:hint="eastAsia" w:ascii="仿宋" w:hAnsi="仿宋" w:eastAsia="仿宋" w:cs="仿宋"/>
          <w:sz w:val="32"/>
          <w:szCs w:val="32"/>
          <w:lang w:val="en-US" w:eastAsia="zh-CN"/>
        </w:rPr>
        <w:t>620</w:t>
      </w:r>
      <w:r>
        <w:rPr>
          <w:rFonts w:hint="eastAsia" w:ascii="仿宋" w:hAnsi="仿宋" w:eastAsia="仿宋" w:cs="仿宋"/>
          <w:sz w:val="32"/>
          <w:szCs w:val="32"/>
        </w:rPr>
        <w:t>、8289862</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1.萧山区“一证通办”部门工作人员名单</w:t>
      </w:r>
    </w:p>
    <w:p>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“一证通办”民生事项清单</w:t>
      </w:r>
      <w:r>
        <w:rPr>
          <w:rFonts w:hint="eastAsia" w:ascii="仿宋" w:hAnsi="仿宋" w:eastAsia="仿宋" w:cs="仿宋"/>
          <w:sz w:val="32"/>
          <w:szCs w:val="32"/>
          <w:lang w:eastAsia="zh-CN"/>
        </w:rPr>
        <w:t>摸底表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3.“一证通办”实现进度反馈表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.“一证通办”事项办事指南信息修改要求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5.区级有关部门名单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萧山区全面深化“最多跑一次”改革领导小组办公室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 w:hAnsi="仿宋" w:eastAsia="仿宋" w:cs="仿宋"/>
          <w:sz w:val="32"/>
          <w:szCs w:val="32"/>
        </w:rPr>
      </w:pPr>
      <w:r>
        <w:rPr>
          <w:rFonts w:hint="eastAsia" w:ascii="仿宋" w:hAnsi="仿宋" w:eastAsia="仿宋" w:cs="仿宋"/>
          <w:sz w:val="32"/>
          <w:szCs w:val="32"/>
        </w:rPr>
        <w:t>2019年5月</w:t>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0"/>
          <w:szCs w:val="30"/>
          <w:lang w:val="en-US" w:eastAsia="zh-CN"/>
        </w:rPr>
      </w:pPr>
      <w:r>
        <w:rPr>
          <w:rFonts w:hint="eastAsia" w:ascii="仿宋" w:hAnsi="仿宋" w:eastAsia="仿宋" w:cs="仿宋"/>
          <w:sz w:val="32"/>
          <w:szCs w:val="32"/>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1 </w:t>
      </w:r>
      <w:r>
        <w:rPr>
          <w:rFonts w:hint="eastAsia" w:ascii="黑体" w:hAnsi="黑体" w:eastAsia="黑体" w:cs="黑体"/>
          <w:sz w:val="30"/>
          <w:szCs w:val="30"/>
          <w:lang w:val="en-US" w:eastAsia="zh-CN"/>
        </w:rPr>
        <w:t xml:space="preserve"> </w:t>
      </w:r>
    </w:p>
    <w:p>
      <w:pPr>
        <w:jc w:val="both"/>
        <w:rPr>
          <w:rFonts w:hint="eastAsia" w:ascii="黑体" w:hAnsi="黑体" w:eastAsia="黑体" w:cs="黑体"/>
          <w:sz w:val="30"/>
          <w:szCs w:val="30"/>
          <w:lang w:val="en-US" w:eastAsia="zh-CN"/>
        </w:rPr>
      </w:pPr>
    </w:p>
    <w:p>
      <w:pPr>
        <w:jc w:val="center"/>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萧山区“一证通办”部门工作人员名单</w:t>
      </w:r>
    </w:p>
    <w:p>
      <w:pPr>
        <w:jc w:val="center"/>
        <w:rPr>
          <w:rFonts w:hint="eastAsia" w:ascii="黑体" w:hAnsi="黑体" w:eastAsia="黑体" w:cs="黑体"/>
          <w:sz w:val="30"/>
          <w:szCs w:val="30"/>
          <w:lang w:eastAsia="zh-CN"/>
        </w:rPr>
      </w:pP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填报单位：</w:t>
      </w:r>
      <w:r>
        <w:rPr>
          <w:rFonts w:hint="eastAsia" w:ascii="仿宋" w:hAnsi="仿宋" w:eastAsia="仿宋" w:cs="仿宋"/>
          <w:b/>
          <w:bCs/>
          <w:sz w:val="32"/>
          <w:szCs w:val="32"/>
          <w:lang w:val="en-US" w:eastAsia="zh-CN"/>
        </w:rPr>
        <w:t xml:space="preserve">                    填报日期：</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815"/>
        <w:gridCol w:w="224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051"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1815"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姓</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名</w:t>
            </w:r>
          </w:p>
        </w:tc>
        <w:tc>
          <w:tcPr>
            <w:tcW w:w="2246"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职务</w:t>
            </w:r>
          </w:p>
        </w:tc>
        <w:tc>
          <w:tcPr>
            <w:tcW w:w="1705"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办公室电话</w:t>
            </w:r>
          </w:p>
        </w:tc>
        <w:tc>
          <w:tcPr>
            <w:tcW w:w="1705"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051" w:type="dxa"/>
            <w:noWrap w:val="0"/>
            <w:vAlign w:val="top"/>
          </w:tcPr>
          <w:p>
            <w:pPr>
              <w:jc w:val="center"/>
              <w:rPr>
                <w:rFonts w:hint="eastAsia" w:ascii="黑体" w:hAnsi="黑体" w:eastAsia="黑体" w:cs="黑体"/>
                <w:sz w:val="24"/>
                <w:szCs w:val="24"/>
                <w:vertAlign w:val="baseline"/>
                <w:lang w:eastAsia="zh-CN"/>
              </w:rPr>
            </w:pPr>
          </w:p>
        </w:tc>
        <w:tc>
          <w:tcPr>
            <w:tcW w:w="1815" w:type="dxa"/>
            <w:noWrap w:val="0"/>
            <w:vAlign w:val="top"/>
          </w:tcPr>
          <w:p>
            <w:pPr>
              <w:jc w:val="center"/>
              <w:rPr>
                <w:rFonts w:hint="eastAsia" w:ascii="黑体" w:hAnsi="黑体" w:eastAsia="黑体" w:cs="黑体"/>
                <w:sz w:val="24"/>
                <w:szCs w:val="24"/>
                <w:vertAlign w:val="baseline"/>
                <w:lang w:eastAsia="zh-CN"/>
              </w:rPr>
            </w:pPr>
          </w:p>
        </w:tc>
        <w:tc>
          <w:tcPr>
            <w:tcW w:w="2246" w:type="dxa"/>
            <w:noWrap w:val="0"/>
            <w:vAlign w:val="top"/>
          </w:tcPr>
          <w:p>
            <w:pPr>
              <w:jc w:val="center"/>
              <w:rPr>
                <w:rFonts w:hint="eastAsia" w:ascii="黑体" w:hAnsi="黑体" w:eastAsia="黑体" w:cs="黑体"/>
                <w:sz w:val="24"/>
                <w:szCs w:val="24"/>
                <w:vertAlign w:val="baseline"/>
                <w:lang w:eastAsia="zh-CN"/>
              </w:rPr>
            </w:pPr>
          </w:p>
        </w:tc>
        <w:tc>
          <w:tcPr>
            <w:tcW w:w="1705" w:type="dxa"/>
            <w:noWrap w:val="0"/>
            <w:vAlign w:val="top"/>
          </w:tcPr>
          <w:p>
            <w:pPr>
              <w:jc w:val="center"/>
              <w:rPr>
                <w:rFonts w:hint="eastAsia" w:ascii="黑体" w:hAnsi="黑体" w:eastAsia="黑体" w:cs="黑体"/>
                <w:sz w:val="24"/>
                <w:szCs w:val="24"/>
                <w:vertAlign w:val="baseline"/>
                <w:lang w:eastAsia="zh-CN"/>
              </w:rPr>
            </w:pPr>
          </w:p>
        </w:tc>
        <w:tc>
          <w:tcPr>
            <w:tcW w:w="1705" w:type="dxa"/>
            <w:noWrap w:val="0"/>
            <w:vAlign w:val="top"/>
          </w:tcPr>
          <w:p>
            <w:pPr>
              <w:jc w:val="center"/>
              <w:rPr>
                <w:rFonts w:hint="eastAsia" w:ascii="黑体" w:hAnsi="黑体" w:eastAsia="黑体" w:cs="黑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051" w:type="dxa"/>
            <w:noWrap w:val="0"/>
            <w:vAlign w:val="top"/>
          </w:tcPr>
          <w:p>
            <w:pPr>
              <w:jc w:val="center"/>
              <w:rPr>
                <w:rFonts w:hint="eastAsia" w:ascii="黑体" w:hAnsi="黑体" w:eastAsia="黑体" w:cs="黑体"/>
                <w:sz w:val="24"/>
                <w:szCs w:val="24"/>
                <w:vertAlign w:val="baseline"/>
                <w:lang w:eastAsia="zh-CN"/>
              </w:rPr>
            </w:pPr>
          </w:p>
        </w:tc>
        <w:tc>
          <w:tcPr>
            <w:tcW w:w="1815" w:type="dxa"/>
            <w:noWrap w:val="0"/>
            <w:vAlign w:val="top"/>
          </w:tcPr>
          <w:p>
            <w:pPr>
              <w:jc w:val="center"/>
              <w:rPr>
                <w:rFonts w:hint="eastAsia" w:ascii="黑体" w:hAnsi="黑体" w:eastAsia="黑体" w:cs="黑体"/>
                <w:sz w:val="24"/>
                <w:szCs w:val="24"/>
                <w:vertAlign w:val="baseline"/>
                <w:lang w:eastAsia="zh-CN"/>
              </w:rPr>
            </w:pPr>
          </w:p>
        </w:tc>
        <w:tc>
          <w:tcPr>
            <w:tcW w:w="2246" w:type="dxa"/>
            <w:noWrap w:val="0"/>
            <w:vAlign w:val="top"/>
          </w:tcPr>
          <w:p>
            <w:pPr>
              <w:jc w:val="center"/>
              <w:rPr>
                <w:rFonts w:hint="eastAsia" w:ascii="黑体" w:hAnsi="黑体" w:eastAsia="黑体" w:cs="黑体"/>
                <w:sz w:val="24"/>
                <w:szCs w:val="24"/>
                <w:vertAlign w:val="baseline"/>
                <w:lang w:eastAsia="zh-CN"/>
              </w:rPr>
            </w:pPr>
          </w:p>
        </w:tc>
        <w:tc>
          <w:tcPr>
            <w:tcW w:w="1705" w:type="dxa"/>
            <w:noWrap w:val="0"/>
            <w:vAlign w:val="top"/>
          </w:tcPr>
          <w:p>
            <w:pPr>
              <w:jc w:val="center"/>
              <w:rPr>
                <w:rFonts w:hint="eastAsia" w:ascii="黑体" w:hAnsi="黑体" w:eastAsia="黑体" w:cs="黑体"/>
                <w:sz w:val="24"/>
                <w:szCs w:val="24"/>
                <w:vertAlign w:val="baseline"/>
                <w:lang w:eastAsia="zh-CN"/>
              </w:rPr>
            </w:pPr>
          </w:p>
        </w:tc>
        <w:tc>
          <w:tcPr>
            <w:tcW w:w="1705" w:type="dxa"/>
            <w:noWrap w:val="0"/>
            <w:vAlign w:val="top"/>
          </w:tcPr>
          <w:p>
            <w:pPr>
              <w:jc w:val="center"/>
              <w:rPr>
                <w:rFonts w:hint="eastAsia" w:ascii="黑体" w:hAnsi="黑体" w:eastAsia="黑体" w:cs="黑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051" w:type="dxa"/>
            <w:noWrap w:val="0"/>
            <w:vAlign w:val="top"/>
          </w:tcPr>
          <w:p>
            <w:pPr>
              <w:jc w:val="center"/>
              <w:rPr>
                <w:rFonts w:hint="eastAsia" w:ascii="黑体" w:hAnsi="黑体" w:eastAsia="黑体" w:cs="黑体"/>
                <w:sz w:val="24"/>
                <w:szCs w:val="24"/>
                <w:vertAlign w:val="baseline"/>
                <w:lang w:eastAsia="zh-CN"/>
              </w:rPr>
            </w:pPr>
          </w:p>
        </w:tc>
        <w:tc>
          <w:tcPr>
            <w:tcW w:w="1815" w:type="dxa"/>
            <w:noWrap w:val="0"/>
            <w:vAlign w:val="top"/>
          </w:tcPr>
          <w:p>
            <w:pPr>
              <w:jc w:val="center"/>
              <w:rPr>
                <w:rFonts w:hint="eastAsia" w:ascii="黑体" w:hAnsi="黑体" w:eastAsia="黑体" w:cs="黑体"/>
                <w:sz w:val="24"/>
                <w:szCs w:val="24"/>
                <w:vertAlign w:val="baseline"/>
                <w:lang w:eastAsia="zh-CN"/>
              </w:rPr>
            </w:pPr>
          </w:p>
        </w:tc>
        <w:tc>
          <w:tcPr>
            <w:tcW w:w="2246" w:type="dxa"/>
            <w:noWrap w:val="0"/>
            <w:vAlign w:val="top"/>
          </w:tcPr>
          <w:p>
            <w:pPr>
              <w:jc w:val="center"/>
              <w:rPr>
                <w:rFonts w:hint="eastAsia" w:ascii="黑体" w:hAnsi="黑体" w:eastAsia="黑体" w:cs="黑体"/>
                <w:sz w:val="24"/>
                <w:szCs w:val="24"/>
                <w:vertAlign w:val="baseline"/>
                <w:lang w:eastAsia="zh-CN"/>
              </w:rPr>
            </w:pPr>
          </w:p>
        </w:tc>
        <w:tc>
          <w:tcPr>
            <w:tcW w:w="1705" w:type="dxa"/>
            <w:noWrap w:val="0"/>
            <w:vAlign w:val="top"/>
          </w:tcPr>
          <w:p>
            <w:pPr>
              <w:jc w:val="center"/>
              <w:rPr>
                <w:rFonts w:hint="eastAsia" w:ascii="黑体" w:hAnsi="黑体" w:eastAsia="黑体" w:cs="黑体"/>
                <w:sz w:val="24"/>
                <w:szCs w:val="24"/>
                <w:vertAlign w:val="baseline"/>
                <w:lang w:eastAsia="zh-CN"/>
              </w:rPr>
            </w:pPr>
          </w:p>
        </w:tc>
        <w:tc>
          <w:tcPr>
            <w:tcW w:w="1705" w:type="dxa"/>
            <w:noWrap w:val="0"/>
            <w:vAlign w:val="top"/>
          </w:tcPr>
          <w:p>
            <w:pPr>
              <w:jc w:val="center"/>
              <w:rPr>
                <w:rFonts w:hint="eastAsia" w:ascii="黑体" w:hAnsi="黑体" w:eastAsia="黑体" w:cs="黑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051" w:type="dxa"/>
            <w:noWrap w:val="0"/>
            <w:vAlign w:val="top"/>
          </w:tcPr>
          <w:p>
            <w:pPr>
              <w:jc w:val="center"/>
              <w:rPr>
                <w:rFonts w:hint="eastAsia" w:ascii="黑体" w:hAnsi="黑体" w:eastAsia="黑体" w:cs="黑体"/>
                <w:sz w:val="24"/>
                <w:szCs w:val="24"/>
                <w:vertAlign w:val="baseline"/>
                <w:lang w:eastAsia="zh-CN"/>
              </w:rPr>
            </w:pPr>
          </w:p>
        </w:tc>
        <w:tc>
          <w:tcPr>
            <w:tcW w:w="1815" w:type="dxa"/>
            <w:noWrap w:val="0"/>
            <w:vAlign w:val="top"/>
          </w:tcPr>
          <w:p>
            <w:pPr>
              <w:jc w:val="center"/>
              <w:rPr>
                <w:rFonts w:hint="eastAsia" w:ascii="黑体" w:hAnsi="黑体" w:eastAsia="黑体" w:cs="黑体"/>
                <w:sz w:val="24"/>
                <w:szCs w:val="24"/>
                <w:vertAlign w:val="baseline"/>
                <w:lang w:eastAsia="zh-CN"/>
              </w:rPr>
            </w:pPr>
          </w:p>
        </w:tc>
        <w:tc>
          <w:tcPr>
            <w:tcW w:w="2246" w:type="dxa"/>
            <w:noWrap w:val="0"/>
            <w:vAlign w:val="top"/>
          </w:tcPr>
          <w:p>
            <w:pPr>
              <w:jc w:val="center"/>
              <w:rPr>
                <w:rFonts w:hint="eastAsia" w:ascii="黑体" w:hAnsi="黑体" w:eastAsia="黑体" w:cs="黑体"/>
                <w:sz w:val="24"/>
                <w:szCs w:val="24"/>
                <w:vertAlign w:val="baseline"/>
                <w:lang w:eastAsia="zh-CN"/>
              </w:rPr>
            </w:pPr>
          </w:p>
        </w:tc>
        <w:tc>
          <w:tcPr>
            <w:tcW w:w="1705" w:type="dxa"/>
            <w:noWrap w:val="0"/>
            <w:vAlign w:val="top"/>
          </w:tcPr>
          <w:p>
            <w:pPr>
              <w:jc w:val="center"/>
              <w:rPr>
                <w:rFonts w:hint="eastAsia" w:ascii="黑体" w:hAnsi="黑体" w:eastAsia="黑体" w:cs="黑体"/>
                <w:sz w:val="24"/>
                <w:szCs w:val="24"/>
                <w:vertAlign w:val="baseline"/>
                <w:lang w:eastAsia="zh-CN"/>
              </w:rPr>
            </w:pPr>
          </w:p>
        </w:tc>
        <w:tc>
          <w:tcPr>
            <w:tcW w:w="1705" w:type="dxa"/>
            <w:noWrap w:val="0"/>
            <w:vAlign w:val="top"/>
          </w:tcPr>
          <w:p>
            <w:pPr>
              <w:jc w:val="center"/>
              <w:rPr>
                <w:rFonts w:hint="eastAsia" w:ascii="黑体" w:hAnsi="黑体" w:eastAsia="黑体" w:cs="黑体"/>
                <w:sz w:val="24"/>
                <w:szCs w:val="24"/>
                <w:vertAlign w:val="baseline"/>
                <w:lang w:eastAsia="zh-CN"/>
              </w:rPr>
            </w:pPr>
          </w:p>
        </w:tc>
      </w:tr>
    </w:tbl>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请于</w:t>
      </w:r>
      <w:r>
        <w:rPr>
          <w:rFonts w:hint="eastAsia" w:ascii="仿宋" w:hAnsi="仿宋" w:eastAsia="仿宋" w:cs="仿宋"/>
          <w:sz w:val="24"/>
          <w:szCs w:val="24"/>
          <w:lang w:val="en-US" w:eastAsia="zh-CN"/>
        </w:rPr>
        <w:t>5月21日（周二）下班前将此表格报送至区办事服务中心，电子邮箱：xszdpyc@163.com，联系人：金莉、王勤，联系电话：82899569、82899723。</w:t>
      </w:r>
    </w:p>
    <w:p>
      <w:pPr>
        <w:rPr>
          <w:rFonts w:hint="eastAsia" w:ascii="黑体" w:hAnsi="黑体" w:eastAsia="黑体" w:cs="黑体"/>
          <w:sz w:val="30"/>
          <w:szCs w:val="30"/>
        </w:rPr>
      </w:pPr>
    </w:p>
    <w:p>
      <w:pPr>
        <w:rPr>
          <w:rFonts w:hint="eastAsia" w:ascii="黑体" w:hAnsi="黑体" w:eastAsia="黑体" w:cs="黑体"/>
          <w:sz w:val="30"/>
          <w:szCs w:val="30"/>
        </w:rPr>
      </w:pPr>
    </w:p>
    <w:p>
      <w:pPr>
        <w:rPr>
          <w:rFonts w:hint="eastAsia" w:ascii="黑体" w:hAnsi="黑体" w:eastAsia="黑体" w:cs="黑体"/>
          <w:sz w:val="30"/>
          <w:szCs w:val="30"/>
        </w:rPr>
      </w:pPr>
    </w:p>
    <w:p>
      <w:pPr>
        <w:rPr>
          <w:rFonts w:hint="eastAsia" w:ascii="黑体" w:hAnsi="黑体" w:eastAsia="黑体" w:cs="黑体"/>
          <w:sz w:val="30"/>
          <w:szCs w:val="30"/>
        </w:rPr>
        <w:sectPr>
          <w:footerReference r:id="rId3" w:type="default"/>
          <w:pgSz w:w="11850" w:h="16783"/>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“一证通办”民生事项清单摸底表</w:t>
      </w:r>
    </w:p>
    <w:tbl>
      <w:tblPr>
        <w:tblStyle w:val="4"/>
        <w:tblpPr w:leftFromText="180" w:rightFromText="180" w:vertAnchor="text" w:horzAnchor="page" w:tblpX="1457" w:tblpY="1850"/>
        <w:tblOverlap w:val="never"/>
        <w:tblW w:w="13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59"/>
        <w:gridCol w:w="1297"/>
        <w:gridCol w:w="918"/>
        <w:gridCol w:w="1684"/>
        <w:gridCol w:w="2882"/>
        <w:gridCol w:w="990"/>
        <w:gridCol w:w="1935"/>
        <w:gridCol w:w="1650"/>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659" w:type="dxa"/>
            <w:shd w:val="clear" w:color="5B9BD5" w:fill="FFFFFF"/>
            <w:noWrap w:val="0"/>
            <w:tcMar>
              <w:top w:w="57" w:type="dxa"/>
              <w:left w:w="57" w:type="dxa"/>
              <w:bottom w:w="57" w:type="dxa"/>
              <w:right w:w="57" w:type="dxa"/>
            </w:tcMar>
            <w:vAlign w:val="center"/>
          </w:tcPr>
          <w:p>
            <w:pPr>
              <w:widowControl/>
              <w:jc w:val="center"/>
              <w:textAlignment w:val="center"/>
              <w:rPr>
                <w:rFonts w:hint="eastAsia" w:ascii="仿宋_GB2312" w:hAnsi="仿宋_GB2312" w:eastAsia="仿宋_GB2312" w:cs="仿宋_GB2312"/>
                <w:b/>
                <w:bCs/>
                <w:color w:val="000000"/>
                <w:kern w:val="0"/>
                <w:sz w:val="22"/>
                <w:szCs w:val="22"/>
                <w:lang w:bidi="ar"/>
              </w:rPr>
            </w:pPr>
            <w:r>
              <w:rPr>
                <w:rFonts w:hint="eastAsia" w:ascii="仿宋_GB2312" w:hAnsi="仿宋_GB2312" w:eastAsia="仿宋_GB2312" w:cs="仿宋_GB2312"/>
                <w:b/>
                <w:bCs/>
                <w:color w:val="000000"/>
                <w:kern w:val="0"/>
                <w:sz w:val="22"/>
                <w:szCs w:val="22"/>
                <w:lang w:bidi="ar"/>
              </w:rPr>
              <w:t>序号</w:t>
            </w:r>
          </w:p>
        </w:tc>
        <w:tc>
          <w:tcPr>
            <w:tcW w:w="1297" w:type="dxa"/>
            <w:shd w:val="clear" w:color="5B9BD5" w:fill="FFFFFF"/>
            <w:noWrap w:val="0"/>
            <w:tcMar>
              <w:top w:w="57" w:type="dxa"/>
              <w:left w:w="57" w:type="dxa"/>
              <w:bottom w:w="57" w:type="dxa"/>
              <w:right w:w="57" w:type="dxa"/>
            </w:tcMar>
            <w:vAlign w:val="center"/>
          </w:tcPr>
          <w:p>
            <w:pPr>
              <w:widowControl/>
              <w:jc w:val="center"/>
              <w:textAlignment w:val="center"/>
              <w:rPr>
                <w:rFonts w:hint="eastAsia" w:ascii="仿宋_GB2312" w:hAnsi="仿宋_GB2312" w:eastAsia="仿宋_GB2312" w:cs="仿宋_GB2312"/>
                <w:b/>
                <w:bCs/>
                <w:color w:val="000000"/>
                <w:kern w:val="0"/>
                <w:sz w:val="22"/>
                <w:szCs w:val="22"/>
                <w:lang w:bidi="ar"/>
              </w:rPr>
            </w:pPr>
            <w:r>
              <w:rPr>
                <w:rFonts w:hint="eastAsia" w:ascii="仿宋_GB2312" w:hAnsi="仿宋_GB2312" w:eastAsia="仿宋_GB2312" w:cs="仿宋_GB2312"/>
                <w:b/>
                <w:bCs/>
                <w:color w:val="000000"/>
                <w:kern w:val="0"/>
                <w:sz w:val="22"/>
                <w:szCs w:val="22"/>
                <w:lang w:bidi="ar"/>
              </w:rPr>
              <w:t>省级</w:t>
            </w:r>
          </w:p>
          <w:p>
            <w:pPr>
              <w:widowControl/>
              <w:jc w:val="center"/>
              <w:textAlignment w:val="center"/>
              <w:rPr>
                <w:rFonts w:hint="eastAsia" w:ascii="仿宋_GB2312" w:hAnsi="仿宋_GB2312" w:eastAsia="仿宋_GB2312" w:cs="仿宋_GB2312"/>
                <w:b/>
                <w:bCs/>
                <w:color w:val="000000"/>
                <w:kern w:val="0"/>
                <w:sz w:val="22"/>
                <w:szCs w:val="22"/>
                <w:lang w:bidi="ar"/>
              </w:rPr>
            </w:pPr>
            <w:r>
              <w:rPr>
                <w:rFonts w:hint="eastAsia" w:ascii="仿宋_GB2312" w:hAnsi="仿宋_GB2312" w:eastAsia="仿宋_GB2312" w:cs="仿宋_GB2312"/>
                <w:b/>
                <w:bCs/>
                <w:color w:val="000000"/>
                <w:kern w:val="0"/>
                <w:sz w:val="22"/>
                <w:szCs w:val="22"/>
                <w:lang w:bidi="ar"/>
              </w:rPr>
              <w:t>主管部门</w:t>
            </w:r>
          </w:p>
        </w:tc>
        <w:tc>
          <w:tcPr>
            <w:tcW w:w="918" w:type="dxa"/>
            <w:shd w:val="clear" w:color="5B9BD5" w:fill="FFFFFF"/>
            <w:noWrap w:val="0"/>
            <w:tcMar>
              <w:top w:w="57" w:type="dxa"/>
              <w:left w:w="57" w:type="dxa"/>
              <w:bottom w:w="57" w:type="dxa"/>
              <w:right w:w="57" w:type="dxa"/>
            </w:tcMar>
            <w:vAlign w:val="center"/>
          </w:tcPr>
          <w:p>
            <w:pPr>
              <w:widowControl/>
              <w:jc w:val="center"/>
              <w:textAlignment w:val="center"/>
              <w:rPr>
                <w:rFonts w:hint="eastAsia" w:ascii="仿宋_GB2312" w:hAnsi="仿宋_GB2312" w:eastAsia="仿宋_GB2312" w:cs="仿宋_GB2312"/>
                <w:b/>
                <w:bCs/>
                <w:color w:val="000000"/>
                <w:kern w:val="0"/>
                <w:sz w:val="22"/>
                <w:szCs w:val="22"/>
                <w:lang w:bidi="ar"/>
              </w:rPr>
            </w:pPr>
            <w:r>
              <w:rPr>
                <w:rFonts w:hint="eastAsia" w:ascii="仿宋_GB2312" w:hAnsi="仿宋_GB2312" w:eastAsia="仿宋_GB2312" w:cs="仿宋_GB2312"/>
                <w:b/>
                <w:bCs/>
                <w:color w:val="000000"/>
                <w:kern w:val="0"/>
                <w:sz w:val="22"/>
                <w:szCs w:val="22"/>
                <w:lang w:bidi="ar"/>
              </w:rPr>
              <w:t>系统建设层级</w:t>
            </w:r>
          </w:p>
        </w:tc>
        <w:tc>
          <w:tcPr>
            <w:tcW w:w="1684" w:type="dxa"/>
            <w:shd w:val="clear" w:color="5B9BD5" w:fill="FFFFFF"/>
            <w:noWrap w:val="0"/>
            <w:tcMar>
              <w:top w:w="57" w:type="dxa"/>
              <w:left w:w="57" w:type="dxa"/>
              <w:bottom w:w="57" w:type="dxa"/>
              <w:right w:w="57" w:type="dxa"/>
            </w:tcMar>
            <w:vAlign w:val="center"/>
          </w:tcPr>
          <w:p>
            <w:pPr>
              <w:widowControl/>
              <w:jc w:val="center"/>
              <w:textAlignment w:val="center"/>
              <w:rPr>
                <w:rFonts w:hint="eastAsia" w:ascii="仿宋_GB2312" w:hAnsi="仿宋_GB2312" w:eastAsia="仿宋_GB2312" w:cs="仿宋_GB2312"/>
                <w:b/>
                <w:bCs/>
                <w:color w:val="000000"/>
                <w:kern w:val="0"/>
                <w:sz w:val="22"/>
                <w:szCs w:val="22"/>
                <w:lang w:bidi="ar"/>
              </w:rPr>
            </w:pPr>
            <w:r>
              <w:rPr>
                <w:rFonts w:hint="eastAsia" w:ascii="仿宋_GB2312" w:hAnsi="仿宋_GB2312" w:eastAsia="仿宋_GB2312" w:cs="仿宋_GB2312"/>
                <w:b/>
                <w:bCs/>
                <w:color w:val="000000"/>
                <w:kern w:val="0"/>
                <w:sz w:val="22"/>
                <w:szCs w:val="22"/>
                <w:lang w:bidi="ar"/>
              </w:rPr>
              <w:t>事项编码</w:t>
            </w:r>
          </w:p>
        </w:tc>
        <w:tc>
          <w:tcPr>
            <w:tcW w:w="2882" w:type="dxa"/>
            <w:shd w:val="clear" w:color="5B9BD5" w:fill="FFFFFF"/>
            <w:noWrap w:val="0"/>
            <w:tcMar>
              <w:top w:w="57" w:type="dxa"/>
              <w:left w:w="57" w:type="dxa"/>
              <w:bottom w:w="57" w:type="dxa"/>
              <w:right w:w="57" w:type="dxa"/>
            </w:tcMar>
            <w:vAlign w:val="center"/>
          </w:tcPr>
          <w:p>
            <w:pPr>
              <w:widowControl/>
              <w:jc w:val="center"/>
              <w:textAlignment w:val="center"/>
              <w:rPr>
                <w:rFonts w:hint="eastAsia" w:ascii="仿宋_GB2312" w:hAnsi="仿宋_GB2312" w:eastAsia="仿宋_GB2312" w:cs="仿宋_GB2312"/>
                <w:b/>
                <w:bCs/>
                <w:color w:val="000000"/>
                <w:kern w:val="0"/>
                <w:sz w:val="22"/>
                <w:szCs w:val="22"/>
                <w:lang w:bidi="ar"/>
              </w:rPr>
            </w:pPr>
            <w:r>
              <w:rPr>
                <w:rFonts w:hint="eastAsia" w:ascii="仿宋_GB2312" w:hAnsi="仿宋_GB2312" w:eastAsia="仿宋_GB2312" w:cs="仿宋_GB2312"/>
                <w:b/>
                <w:bCs/>
                <w:color w:val="000000"/>
                <w:kern w:val="0"/>
                <w:sz w:val="22"/>
                <w:szCs w:val="22"/>
                <w:lang w:bidi="ar"/>
              </w:rPr>
              <w:t>事项名称</w:t>
            </w:r>
          </w:p>
        </w:tc>
        <w:tc>
          <w:tcPr>
            <w:tcW w:w="990" w:type="dxa"/>
            <w:shd w:val="clear" w:color="5B9BD5" w:fill="FFFFFF"/>
            <w:noWrap w:val="0"/>
            <w:tcMar>
              <w:top w:w="57" w:type="dxa"/>
              <w:left w:w="57" w:type="dxa"/>
              <w:bottom w:w="57" w:type="dxa"/>
              <w:right w:w="57" w:type="dxa"/>
            </w:tcMar>
            <w:vAlign w:val="center"/>
          </w:tcPr>
          <w:p>
            <w:pPr>
              <w:widowControl/>
              <w:jc w:val="center"/>
              <w:textAlignment w:val="center"/>
              <w:rPr>
                <w:rFonts w:hint="eastAsia" w:ascii="仿宋_GB2312" w:hAnsi="仿宋_GB2312" w:eastAsia="仿宋_GB2312" w:cs="仿宋_GB2312"/>
                <w:b/>
                <w:bCs/>
                <w:color w:val="000000"/>
                <w:kern w:val="0"/>
                <w:sz w:val="22"/>
                <w:szCs w:val="22"/>
                <w:lang w:eastAsia="zh-CN" w:bidi="ar"/>
              </w:rPr>
            </w:pPr>
            <w:r>
              <w:rPr>
                <w:rFonts w:hint="eastAsia" w:ascii="仿宋_GB2312" w:hAnsi="仿宋_GB2312" w:eastAsia="仿宋_GB2312" w:cs="仿宋_GB2312"/>
                <w:b/>
                <w:bCs/>
                <w:color w:val="000000"/>
                <w:kern w:val="0"/>
                <w:sz w:val="22"/>
                <w:szCs w:val="22"/>
                <w:lang w:eastAsia="zh-CN" w:bidi="ar"/>
              </w:rPr>
              <w:t>确认系统建设层级（填国家级、省级、市级、区级）</w:t>
            </w:r>
          </w:p>
        </w:tc>
        <w:tc>
          <w:tcPr>
            <w:tcW w:w="1935" w:type="dxa"/>
            <w:shd w:val="clear" w:color="5B9BD5" w:fill="FFFFFF"/>
            <w:noWrap w:val="0"/>
            <w:tcMar>
              <w:top w:w="57" w:type="dxa"/>
              <w:left w:w="57" w:type="dxa"/>
              <w:bottom w:w="57" w:type="dxa"/>
              <w:right w:w="57" w:type="dxa"/>
            </w:tcMar>
            <w:vAlign w:val="center"/>
          </w:tcPr>
          <w:p>
            <w:pPr>
              <w:widowControl/>
              <w:jc w:val="center"/>
              <w:textAlignment w:val="center"/>
              <w:rPr>
                <w:rFonts w:hint="eastAsia" w:ascii="仿宋_GB2312" w:hAnsi="仿宋_GB2312" w:eastAsia="仿宋_GB2312" w:cs="仿宋_GB2312"/>
                <w:b/>
                <w:bCs/>
                <w:color w:val="000000"/>
                <w:kern w:val="0"/>
                <w:sz w:val="22"/>
                <w:szCs w:val="22"/>
                <w:lang w:eastAsia="zh-CN" w:bidi="ar"/>
              </w:rPr>
            </w:pPr>
            <w:r>
              <w:rPr>
                <w:rFonts w:hint="eastAsia" w:ascii="仿宋_GB2312" w:hAnsi="仿宋_GB2312" w:eastAsia="仿宋_GB2312" w:cs="仿宋_GB2312"/>
                <w:b/>
                <w:bCs/>
                <w:color w:val="000000"/>
                <w:kern w:val="0"/>
                <w:sz w:val="22"/>
                <w:szCs w:val="22"/>
                <w:lang w:eastAsia="zh-CN" w:bidi="ar"/>
              </w:rPr>
              <w:t>线下办理地点</w:t>
            </w:r>
          </w:p>
        </w:tc>
        <w:tc>
          <w:tcPr>
            <w:tcW w:w="1650" w:type="dxa"/>
            <w:shd w:val="clear" w:color="5B9BD5" w:fill="FFFFFF"/>
            <w:noWrap w:val="0"/>
            <w:tcMar>
              <w:top w:w="57" w:type="dxa"/>
              <w:left w:w="57" w:type="dxa"/>
              <w:bottom w:w="57" w:type="dxa"/>
              <w:right w:w="57" w:type="dxa"/>
            </w:tcMar>
            <w:vAlign w:val="center"/>
          </w:tcPr>
          <w:p>
            <w:pPr>
              <w:widowControl/>
              <w:jc w:val="center"/>
              <w:textAlignment w:val="center"/>
              <w:rPr>
                <w:rFonts w:hint="eastAsia" w:ascii="仿宋_GB2312" w:hAnsi="仿宋_GB2312" w:eastAsia="仿宋_GB2312" w:cs="仿宋_GB2312"/>
                <w:b/>
                <w:bCs/>
                <w:color w:val="000000"/>
                <w:kern w:val="0"/>
                <w:sz w:val="22"/>
                <w:szCs w:val="22"/>
                <w:lang w:eastAsia="zh-CN" w:bidi="ar"/>
              </w:rPr>
            </w:pPr>
            <w:r>
              <w:rPr>
                <w:rFonts w:hint="eastAsia" w:ascii="仿宋_GB2312" w:hAnsi="仿宋_GB2312" w:eastAsia="仿宋_GB2312" w:cs="仿宋_GB2312"/>
                <w:b/>
                <w:bCs/>
                <w:color w:val="000000"/>
                <w:kern w:val="0"/>
                <w:sz w:val="22"/>
                <w:szCs w:val="22"/>
                <w:lang w:eastAsia="zh-CN" w:bidi="ar"/>
              </w:rPr>
              <w:t>是否开通浙江省政务服务网端办理</w:t>
            </w:r>
          </w:p>
        </w:tc>
        <w:tc>
          <w:tcPr>
            <w:tcW w:w="1725" w:type="dxa"/>
            <w:shd w:val="clear" w:color="5B9BD5" w:fill="FFFFFF"/>
            <w:noWrap w:val="0"/>
            <w:tcMar>
              <w:top w:w="57" w:type="dxa"/>
              <w:left w:w="57" w:type="dxa"/>
              <w:bottom w:w="57" w:type="dxa"/>
              <w:right w:w="57" w:type="dxa"/>
            </w:tcMar>
            <w:vAlign w:val="center"/>
          </w:tcPr>
          <w:p>
            <w:pPr>
              <w:widowControl/>
              <w:jc w:val="center"/>
              <w:textAlignment w:val="center"/>
              <w:rPr>
                <w:rFonts w:hint="default" w:ascii="仿宋_GB2312" w:hAnsi="仿宋_GB2312" w:eastAsia="仿宋_GB2312" w:cs="仿宋_GB2312"/>
                <w:b/>
                <w:bCs/>
                <w:color w:val="000000"/>
                <w:kern w:val="0"/>
                <w:sz w:val="22"/>
                <w:szCs w:val="22"/>
                <w:lang w:val="en-US" w:eastAsia="zh-CN" w:bidi="ar"/>
              </w:rPr>
            </w:pPr>
            <w:r>
              <w:rPr>
                <w:rFonts w:hint="eastAsia" w:ascii="仿宋_GB2312" w:hAnsi="仿宋_GB2312" w:eastAsia="仿宋_GB2312" w:cs="仿宋_GB2312"/>
                <w:b/>
                <w:bCs/>
                <w:color w:val="000000"/>
                <w:kern w:val="0"/>
                <w:sz w:val="22"/>
                <w:szCs w:val="22"/>
                <w:lang w:eastAsia="zh-CN" w:bidi="ar"/>
              </w:rPr>
              <w:t>是否开通“浙里办”</w:t>
            </w:r>
            <w:r>
              <w:rPr>
                <w:rFonts w:hint="eastAsia" w:ascii="仿宋_GB2312" w:hAnsi="仿宋_GB2312" w:eastAsia="仿宋_GB2312" w:cs="仿宋_GB2312"/>
                <w:b/>
                <w:bCs/>
                <w:color w:val="000000"/>
                <w:kern w:val="0"/>
                <w:sz w:val="22"/>
                <w:szCs w:val="22"/>
                <w:lang w:val="en-US" w:eastAsia="zh-CN" w:bidi="ar"/>
              </w:rPr>
              <w:t>APP端办理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省档案馆</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公共服务-01460-000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档案查阅服务</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省档案馆</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公共服务-01469-000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异地查档、跨馆服务</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公共服务-00119-000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毕（结）业证书遗失办理、学历证明确认</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公共服务-00120-000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教师资格证书补发换发</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公共服务-02401-000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补办中专（2000年前）毕业证明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公共服务-02413-000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浙江省普通高中学业水平考试成绩证明／浙江省普通高中会考成绩证明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公共服务-02414-000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浙江省普通高校招生考试成绩证明／浙江省单独考试招生（原高职单考单招）考试成绩证明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公共服务-02415-000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浙江省自学考试合格成绩证明／毕业证明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公共服务-02416-000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全国计算机等级考试合格证书证明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公共服务-02417-000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全国英语等级考试成绩证明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公共服务-02423-000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普通话水平测试等级证明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其他-02480-000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对未成年人送工读学校进行矫治和接受教育的批准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确认-00024-001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普通高等学校学生跨省转学条件确认</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确认-00024-002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普通高等学校学生省内转学备案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确认-00025-000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普通话水平测试等级证书核发</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确认-00026-000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对自考考生免考课程的确认</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确认-00027-000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对自考合格课程跨省转移的确认</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确认-00407-000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30年教龄荣誉证书发放审定</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2"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确认-00414-000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教师资格定期注册</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确认-00416-000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军人、人民警察和警务辅助人员子女参加中考优待确认</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省教育厅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确认-00420-000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少数民族考生中考加分确认</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公共服务-00290-000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申请强制戒毒人员探访安排</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公共服务-00296-000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监管场所网上视频会见</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其他-00997-000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注销驾驶资格</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其他-01001-003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出生日期更正</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其他-01001-006</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姓名变更</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其他-01001-009</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兵役状况变更</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其他-01001-010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文化程度变更</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其他-01001-011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服务处所变更</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其他-01001-012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户主变更</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其他-01001-013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婚姻状况变更</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其他-02147-001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校车驾驶证审验</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其他-02147-002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驾驶证审验</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其他-02147-003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驾驶证延期审验</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其他-02154-001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机动车驾驶人联系方式及联系地址变更备案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其他-02154-002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机动车驾驶人从业单位变更备案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17"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其他-02181-000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驾驶证最高准驾车型注销</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其他-02182-000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实习准驾车型驾驶资格注销</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2"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其他-02592-002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死亡注销户口</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7"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其他-02592-003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收养登记落户</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其他-02592-009</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居民户口簿申领、换领和补领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其他-02592-016</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宣告失踪注销户口</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其他-02592-017</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国内出生户口登记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其他-02592-018</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国外出生户口登记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其他-02592-019</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宣告死亡注销户口</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其他-02592-020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个人户籍类证明查询</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其他-02628-003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连续就读居住证办理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其他-02634-001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补换领号牌</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其他-02634-002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补换领行驶证</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其他-02634-003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补领、申领机动车登记证书</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其他-02634-004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换领机动车登记证书</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其他-02635-002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购买、调拨、赠予等方式获得后未注册登记的机动车核发临时行驶车号牌</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其他-02636-001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达到规定年龄换领机动车驾驶证</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其他-02636-002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自愿降低准驾车型换领机动车驾驶证</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其他-02636-003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驾驶证损毁换证</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其他-02636-004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身体条件变化降低准驾车型换领机动车驾驶证</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其他-02636-005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遗失补领机动车驾驶证</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其他-02636-006</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延期换领机动车驾驶证</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其他-02636-007</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期满换领机动车驾驶证</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其他-02636-008</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驾驶人信息变化换领机动车驾驶证</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其他-02636-009</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转入换领机动车驾驶证</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其他-02637-000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大中型客货车实习期满考试</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其他-02638-000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驾驶人驾驶资格恢复考试</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其他-02639-001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提交《身体条件证明》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其他-02639-002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延期提交《身体条件证明》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其他-02641-000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驾驶人违法记分满分教育</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其他-02646-003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本省籍居民身份证换领、补领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其他-02646-004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居民身份证首次申领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其他-05140-004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户口迁往省外</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其他-05140-005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大中专院校学生毕业落户（迁入原籍地或者现家庭所在地）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其他-05140-006</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大中专院校学生在学期间户口迁移（退学、转学、肄业）</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其他-05140-007</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留学回国人员落户</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其他-05140-008</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加入外国国籍或在国外定居注销户口</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其他-05140-009</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大中专院校新生入学户口迁往学校</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其他-05140-010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服兵役注销户口</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其他-05140-011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大中专院校应届学生毕业户口迁出（入学前未迁入高校的，毕业时直接迁往就业地）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其他-05140-012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市内未成年子女投靠父母落户</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其他-05140-014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出境注销户口</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其他-05140-015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市内住址变动落户</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其他-05140-016</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市内无合法稳定住所挂靠落户</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其他-05140-017</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港、澳、台居民回内地（大陆）定居落户</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其他-05140-019</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退役军人恢复户口登记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其他-05140-020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市外老年父母投靠子女落户</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其他-05140-021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市内夫妻投靠落户</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其他-05140-022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市内老年父母投靠子女落户</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其他-05140-024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市外未成年子女投靠父母落户</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其他-05140-027</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华侨回国定居落户</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其他-05435-000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流动人口居住登记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省应急管理厅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确认-00062-000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火灾事故认定复核</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许可-00059-000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保安员证核发</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许可-00077-005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机动车抵押登记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许可-00077-006</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机动车申请检验合格标志</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许可-00077-008</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国产机动车注册登记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许可-00077-009</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进口机动车注册登记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许可-00077-010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残疾人专用小型自动挡载客汽车拆除操纵辅助装置变更备案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许可-00077-011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机动车更换发动机变更登记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许可-00077-012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机动车变更使用性质变更登记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许可-00077-013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机动车改变车身颜色变更登记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许可-00077-014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机动车所有人住所在车辆管理所管辖区域内迁移变更备案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许可-00077-015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机动车因质量问题更换整车变更登记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许可-00077-016</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残疾人专用小型自动挡载客汽车加装操纵辅助装置变更备案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许可-00077-017</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机动车更换车身或者车架变更登记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许可-00077-018</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机动车所有人住所迁入车辆管理所管辖区域变更登记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许可-00077-019</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机动车所有人姓名（单位名称）、身份证明号码变更备案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许可-00077-020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机动车所有人住所迁出车辆管理所管辖区域变更登记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许可-00077-021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机动车发动机号码、车辆识别代号变更备案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许可-00077-022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机动车共同所有人姓名变更登记（变更后所有人住所在辖区内）</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许可-00077-024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机动车共同所有人姓名变更登记（变更后所有人住所迁出辖区）</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许可-00077-025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机动车回收注销登记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许可-00077-026</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机动车所有人联系方式变更备案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许可-00077-029</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机动车因质量问题退车注销登记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许可-00077-030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机动车灭失注销登记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许可-00077-031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机动车解除质押备案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许可-00077-032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机动车质押备案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许可-00077-033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临时入境机动车号牌、行驶证核发</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许可-00077-034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免检机动车申领检验合格标志</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许可-00077-035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异地机动车申请核发检验合格标志</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许可-00077-036</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机动车申请异地核发检验合格标志通知书</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许可-00077-037</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机动车申请补换领检验合格标志</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许可-00077-038</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机动车解除抵押登记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许可-00079-001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电动自行车注册登记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许可-00079-002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残疾人机动轮椅车注册登记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许可-00750-005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港澳商务签注</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许可-00757-001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机动车驾驶证初学申领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许可-00757-002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境外机动车驾驶证换证申领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许可-00757-003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临时入境机动车驾驶许可申领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许可-00757-004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机动车驾驶证增驾申领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许可-00757-005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军警机动车驾驶证换证申领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许可-00908-000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边境管理区通行证申领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许可-00927-001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申请取得校车驾驶资格</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许可-00927-002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注销校车驾驶资格</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132</w:t>
            </w:r>
          </w:p>
        </w:tc>
        <w:tc>
          <w:tcPr>
            <w:tcW w:w="1297"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国家</w:t>
            </w:r>
          </w:p>
        </w:tc>
        <w:tc>
          <w:tcPr>
            <w:tcW w:w="1684"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许可-00912-001</w:t>
            </w:r>
          </w:p>
        </w:tc>
        <w:tc>
          <w:tcPr>
            <w:tcW w:w="2882"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临时上下外国船舶许可</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133</w:t>
            </w:r>
          </w:p>
        </w:tc>
        <w:tc>
          <w:tcPr>
            <w:tcW w:w="1297"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省公安厅</w:t>
            </w:r>
          </w:p>
        </w:tc>
        <w:tc>
          <w:tcPr>
            <w:tcW w:w="918"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国家</w:t>
            </w:r>
          </w:p>
        </w:tc>
        <w:tc>
          <w:tcPr>
            <w:tcW w:w="1684"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许可-00912-002</w:t>
            </w:r>
          </w:p>
        </w:tc>
        <w:tc>
          <w:tcPr>
            <w:tcW w:w="2882"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长期上下外国船舶许可</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公共服务-03416-000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“三属”优待证办理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其他-02440-000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带病回乡退伍军人认定</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其他-05595-000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光荣院集中供养审核</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省应急管理厅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其他-05596-000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因灾倒损房困难救助审核</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确认-00011-000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退出现役（1-4级）残疾军人集中供养批准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确认-00066-000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伤残抚恤关系接收、转移办理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确认-00760-000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失业残疾军人改领在乡抚恤金认定</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省民政厅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确认-00761-000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老年人优待证办理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省民政厅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给付-00006-000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特困人员救助供养认定及保障金给付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省民政厅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给付-00036-000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对城乡生活无着的流浪乞讨人员的救助安置</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省民政厅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给付-00037-000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孤儿认定及基本生活费给付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省民政厅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给付-00043-000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最低生活保障家庭认定和专项社会救助</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省民政厅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给付-00044-000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医疗救助对象认定及救助金给付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给付-00055-000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部分农村籍退役士兵认定及老年生活补助给付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给付-00056-000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烈士褒扬金及一次性抚恤金发放</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给付-00057-000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浙江省见义勇为死亡人员民政补助认定及给付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给付-00059-000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部分烈士（含错杀后被平反人员）子女认定及生活补助给付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给付-00091-000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烈士直系亲属异地祭扫差旅费、食宿费用等给付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给付-00093-000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自主就业退役士兵一次性经济补助给付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给付-00094-000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1级至4级分散供养残疾退役士兵购（建）房资金给付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给付-00096-000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部分抚恤补助对象住院费用的医疗补助给付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给付-00097-000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部分优抚对象危房改造资金给付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给付-00101-000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优抚对象丧葬补助费给付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给付-00102-000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军队移交政府安置的军队离休退休干部（士官）丧葬费给付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给付-00103-000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部分优抚对象临时性生活补助给付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省民政厅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给付-00107-000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养老服务补贴给付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省民政厅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给付-00116-000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困境儿童认定及基本生活费给付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省民政厅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给付-00117-000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因公牺牲军人、病故军人（含军队离退休人员）一次性抚恤金给付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省退役军人事务厅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给付-00131-000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最低生活保障边缘家庭认定和专项社会救助</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省司法厅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其他-01296-000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对申请人不服法律援助机构作出的不符合法律援助条件的通知的异议审查</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公共服务-00498-001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流动人员人事档案接收</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公共服务-00498-002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流动人员人事档案转出</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公共服务-00498-003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流动人员人事档案材料收集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公共服务-00498-005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依据档案记载出具相关证明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公共服务-00501-002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社会保险职工参保信息变更登记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公共服务-00501-003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个体劳动者（灵活就业人员）参保信息变更登记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公共服务-00501-005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基本医疗保险职工参保信息变更登记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公共服务-00501-009</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城乡居民基本养老保险参保信息变更登记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公共服务-00501-010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被征地农民基本生活保障参保信息变更登记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公共服务-00501-011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城乡居民基本医疗保险参保信息变更登记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公共服务-00502-002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参保人员查询打印社会保险信息</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公共服务-00511-001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企业职工基本养老保险关系转移</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公共服务-00511-002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企业职工基本养老保险关系接续</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公共服务-00512-001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基本医疗保险关系转移</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公共服务-00512-002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基本医疗保险关系接续</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公共服务-00515-001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失业保险关系转移</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公共服务-00515-002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失业保险关系接续</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公共服务-00516-001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高校毕业生就业协议鉴证</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公共服务-00518-001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领取专业技术人员国家职业资格证书</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公共服务-00519-000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引进人才居住证审核</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公共服务-04026-000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开具调出我省的省部属机关事业单位工作人员未参保证明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公共服务-04027-001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公务员录用考试报名缴费</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公共服务-04027-002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专业技术人员资格考试报名缴费</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公共服务-04027-003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事业单位公开招聘考试报名缴费</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公共服务-04028-000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领取省考专业技术人员资格证书</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公共服务-04033-001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劳动保障事务代理人员职工档案接收</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公共服务-04033-002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劳动保障事务代理人员职工档案利用</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公共服务-04033-003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劳动保障事务代理人员职工档案转出</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公共服务-04034-001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申领《浙江省海外高层次人才居住证》主卡</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67"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公共服务-04034-002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申领《浙江省海外高层次人才居住证》副卡</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公共服务-04037-000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报名参加中国国际化人才外语考试（BFT）</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公共服务-04039-000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出具人事代理人员因公出国（境）审查批件</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其他-01002-000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失业登记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其他-03026-003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自主创业登记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其他-03026-004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灵活就业登记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确认-00122-006</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城乡居民基本养老保险参保登记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确认-00122-013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个体劳动者（灵活就业人员）参保登记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确认-00252-001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退休归侨职工生活补贴资格确认</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确认-00252-009</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高级专家退休时一次性补贴资格确认</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确认-00252-010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退休高级职称人员增加养老金待遇资格确认</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确认-00252-011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退休高级技师增加养老金待遇资格确认</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确认-00253-001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基本医疗保险参保人员出国（境）带药备案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确认-00253-002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基本医疗保险参保人员转外就医备案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确认-00253-003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基本医疗保险参保人员特治特药备案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确认-00253-004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基本医疗保险参保人员享受规定（特殊慢性）病种待遇备案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确认-00253-005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基本医疗保险参保人员长住外地备案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确认-00253-007</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基本医疗保险参保人员家庭病床备案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确认-00253-013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基本医疗保险参保人员异地就医备案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确认-00253-014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基本医疗保险参保人员居家护理备案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给付-00007-019</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基本医疗保险参保人员医疗费用零星报销</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给付-00007-020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基本医疗保险参保人员急诊就医费用报销</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给付-00007-021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基本医疗保险参保人员异地就医费用报销</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给付-00007-022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基本医疗保险参保人员转外就医费用报销</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省医保局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给付-00007-025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基本医疗保险参保个人账户清算</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给付-00144-008</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城乡居民基本养老保险待遇核准支付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给付-00144-012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达到法定退休年龄前终止参保关系待遇核准支付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给付-00144-013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养老保险待遇领取资格认证</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给付-00144-014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被征地农民基本生活保障待遇核准支付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给付-00145-009</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丧葬补助金和抚恤金核准支付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给付-00145-010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生育补助金核准支付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省人力社保厅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给付-00145-012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失业保险金核准支付</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公共服务-00545-000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不动产登记资料查询</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确认-00138-021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异议登记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确认-00138-022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预告登记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确认-00138-039</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宅基地使用权及房屋所有权登记（首次登记）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确认-00138-043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抵押权登记（首次登记）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确认-00138-044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更正登记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确认-00138-045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补（换）证登记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确认-00138-052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抵押权登记（变更登记）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确认-00138-053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抵押权登记（转移登记）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确认-00138-054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抵押权登记（注销登记）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确认-00138-056</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宅基地使用权及房屋所有权登记（注销登记）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确认-00138-061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国有建设用地使用权及房屋所有权登记（变更登记）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确认-00138-062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国有建设用地使用权及房屋所有权登记（转移登记）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确认-00138-063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国有建设用地使用权及房屋所有权登记（注销登记）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省自然资源厅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确认-00138-064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宅基地使用权及房屋所有权登记（变更登记）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公共服务-00616-000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公共租赁住房的租金收缴</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公共服务-00618-000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出具房改核查证明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其他-00001-000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城镇居民管道燃气费缴纳</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其他-00002-001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城镇居民水费缴纳</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其他-00984-000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房地产交易与成交价格申报审核</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其他-02491-001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购买自住住房提取住房公积金</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其他-02491-002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建造、翻建、大修自住住房提取住房公积金</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其他-02491-003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离休、退休提取住房公积金</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其他-02491-004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完全或者部分丧失劳动能力以及遇到其他突发事件造成家庭生活严重困难提取住房公积金</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其他-02491-005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出境定居提取住房公积金</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其他-02491-006</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偿还购房贷款本息提取住房公积金</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其他-02491-007</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租赁自住住房提取住房公积金</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其他-02491-008</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死亡或者被宣告死亡提取住房公积金</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其他-02491-010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与所在单位终止劳动关系未重新就业满五年或者造成家庭生活严重困难提取住房公积金</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其他-02491-011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其他情形提取住房公积金</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其他-02492-001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购买新建住房申请住房公积金贷款</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其他-02492-002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购买二手住房申请住房公积金贷款</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其他-02492-003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建造、翻建、大修自住住房申请住房公积金贷款</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其他-02492-004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住房公积金贷款合同变更</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其他-02492-005</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住房公积金提前还贷</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其他-02493-013</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个体工商户、自由职业者住房公积金缴存登记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其他-02742-000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公有住房出售审查</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其他-02750-000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房改房维修基金使用审核</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省建设厅</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其他-05466-000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国有土地上房屋装修备案</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省卫生健康委</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公共服务-00829-000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出具出生医学证明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省卫生健康委</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公共服务-00831-000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出具死亡证明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省卫生健康委</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公共服务-00879-000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预防接种证办理</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267</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省卫生健康委</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其他-05589-000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生育登记</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268</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省市场监管局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许可-00415-001</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特种设备作业人员考核(首次申请）</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269</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浙江省税务局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其他-01084-002</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申请开具社会保险费缴费证明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270</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浙江省税务局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其他-01084-004</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开具个人所得税完税证明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271</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浙江省税务局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确认-00340-007</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授权（委托）划缴协议</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272</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杭州海关</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杭州海关-00021-000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个人邮递物品申报</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273</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杭州海关</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杭州海关-00027-000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留学人员购买免税国产汽车</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274</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杭州海关</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杭州海关-00031-000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旅客行李物品申报</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275</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宁波海关</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宁波海关-00031-000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旅客行李物品申报</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59"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276</w:t>
            </w:r>
          </w:p>
        </w:tc>
        <w:tc>
          <w:tcPr>
            <w:tcW w:w="1297"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省气象局</w:t>
            </w:r>
          </w:p>
        </w:tc>
        <w:tc>
          <w:tcPr>
            <w:tcW w:w="918"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市县</w:t>
            </w:r>
          </w:p>
        </w:tc>
        <w:tc>
          <w:tcPr>
            <w:tcW w:w="1684"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公共服务-25001-000</w:t>
            </w:r>
          </w:p>
        </w:tc>
        <w:tc>
          <w:tcPr>
            <w:tcW w:w="2882"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气象证明</w:t>
            </w:r>
          </w:p>
        </w:tc>
        <w:tc>
          <w:tcPr>
            <w:tcW w:w="99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93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650"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725"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bl>
    <w:p>
      <w:pPr>
        <w:rPr>
          <w:rFonts w:hint="eastAsia" w:ascii="仿宋" w:hAnsi="仿宋" w:eastAsia="仿宋" w:cs="仿宋"/>
          <w:sz w:val="24"/>
          <w:szCs w:val="24"/>
          <w:lang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请于</w:t>
      </w:r>
      <w:r>
        <w:rPr>
          <w:rFonts w:hint="eastAsia" w:ascii="仿宋" w:hAnsi="仿宋" w:eastAsia="仿宋" w:cs="仿宋"/>
          <w:sz w:val="24"/>
          <w:szCs w:val="24"/>
          <w:lang w:val="en-US" w:eastAsia="zh-CN"/>
        </w:rPr>
        <w:t>5月21日（周二）下班前将此表格报送至区办事服务中心，电子邮箱：xszdpyc@163.com；联系人：金莉、王勤，联系电话：82899569、82899723。</w:t>
      </w:r>
    </w:p>
    <w:p>
      <w:pPr>
        <w:rPr>
          <w:rFonts w:hint="eastAsia" w:ascii="仿宋" w:hAnsi="仿宋" w:eastAsia="仿宋" w:cs="仿宋"/>
          <w:sz w:val="28"/>
          <w:szCs w:val="28"/>
          <w:lang w:eastAsia="zh-CN"/>
        </w:rPr>
        <w:sectPr>
          <w:pgSz w:w="16838" w:h="11906" w:orient="landscape"/>
          <w:pgMar w:top="1800" w:right="1440" w:bottom="1800" w:left="1440" w:header="851" w:footer="992" w:gutter="0"/>
          <w:pgNumType w:fmt="numberInDash"/>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“一证通办”实现进度反馈表</w:t>
      </w:r>
    </w:p>
    <w:p>
      <w:pPr>
        <w:rPr>
          <w:rFonts w:hint="eastAsia" w:ascii="仿宋" w:hAnsi="仿宋" w:eastAsia="仿宋" w:cs="仿宋"/>
          <w:sz w:val="32"/>
          <w:szCs w:val="32"/>
        </w:rPr>
      </w:pPr>
    </w:p>
    <w:tbl>
      <w:tblPr>
        <w:tblStyle w:val="4"/>
        <w:tblW w:w="13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137"/>
        <w:gridCol w:w="2187"/>
        <w:gridCol w:w="5897"/>
        <w:gridCol w:w="193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578" w:type="dxa"/>
            <w:vMerge w:val="restart"/>
            <w:noWrap w:val="0"/>
            <w:vAlign w:val="center"/>
          </w:tcPr>
          <w:p>
            <w:pPr>
              <w:spacing w:line="48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137" w:type="dxa"/>
            <w:vMerge w:val="restart"/>
            <w:noWrap w:val="0"/>
            <w:vAlign w:val="center"/>
          </w:tcPr>
          <w:p>
            <w:pPr>
              <w:spacing w:line="48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事项基本码</w:t>
            </w:r>
          </w:p>
        </w:tc>
        <w:tc>
          <w:tcPr>
            <w:tcW w:w="2187" w:type="dxa"/>
            <w:vMerge w:val="restart"/>
            <w:noWrap w:val="0"/>
            <w:vAlign w:val="center"/>
          </w:tcPr>
          <w:p>
            <w:pPr>
              <w:spacing w:line="48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事项名称</w:t>
            </w:r>
          </w:p>
        </w:tc>
        <w:tc>
          <w:tcPr>
            <w:tcW w:w="9698" w:type="dxa"/>
            <w:gridSpan w:val="3"/>
            <w:noWrap w:val="0"/>
            <w:vAlign w:val="center"/>
          </w:tcPr>
          <w:p>
            <w:pPr>
              <w:spacing w:line="48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rPr>
        <w:tc>
          <w:tcPr>
            <w:tcW w:w="578" w:type="dxa"/>
            <w:vMerge w:val="continue"/>
            <w:noWrap w:val="0"/>
            <w:vAlign w:val="center"/>
          </w:tcPr>
          <w:p>
            <w:pPr>
              <w:spacing w:line="480" w:lineRule="exact"/>
              <w:jc w:val="center"/>
              <w:rPr>
                <w:rFonts w:ascii="仿宋_GB2312" w:hAnsi="仿宋_GB2312" w:eastAsia="仿宋_GB2312" w:cs="仿宋_GB2312"/>
                <w:b/>
                <w:bCs/>
                <w:sz w:val="21"/>
                <w:szCs w:val="21"/>
              </w:rPr>
            </w:pPr>
          </w:p>
        </w:tc>
        <w:tc>
          <w:tcPr>
            <w:tcW w:w="1137" w:type="dxa"/>
            <w:vMerge w:val="continue"/>
            <w:noWrap w:val="0"/>
            <w:vAlign w:val="center"/>
          </w:tcPr>
          <w:p>
            <w:pPr>
              <w:spacing w:line="480" w:lineRule="exact"/>
              <w:jc w:val="center"/>
              <w:rPr>
                <w:rFonts w:ascii="仿宋_GB2312" w:hAnsi="仿宋_GB2312" w:eastAsia="仿宋_GB2312" w:cs="仿宋_GB2312"/>
                <w:b/>
                <w:bCs/>
                <w:sz w:val="21"/>
                <w:szCs w:val="21"/>
              </w:rPr>
            </w:pPr>
          </w:p>
        </w:tc>
        <w:tc>
          <w:tcPr>
            <w:tcW w:w="2187" w:type="dxa"/>
            <w:vMerge w:val="continue"/>
            <w:noWrap w:val="0"/>
            <w:vAlign w:val="center"/>
          </w:tcPr>
          <w:p>
            <w:pPr>
              <w:spacing w:line="480" w:lineRule="exact"/>
              <w:jc w:val="center"/>
              <w:rPr>
                <w:rFonts w:ascii="仿宋_GB2312" w:hAnsi="仿宋_GB2312" w:eastAsia="仿宋_GB2312" w:cs="仿宋_GB2312"/>
                <w:b/>
                <w:bCs/>
                <w:sz w:val="21"/>
                <w:szCs w:val="21"/>
              </w:rPr>
            </w:pPr>
          </w:p>
        </w:tc>
        <w:tc>
          <w:tcPr>
            <w:tcW w:w="5897" w:type="dxa"/>
            <w:noWrap w:val="0"/>
            <w:vAlign w:val="center"/>
          </w:tcPr>
          <w:p>
            <w:pPr>
              <w:spacing w:line="48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窗口收件端</w:t>
            </w:r>
          </w:p>
        </w:tc>
        <w:tc>
          <w:tcPr>
            <w:tcW w:w="1935" w:type="dxa"/>
            <w:noWrap w:val="0"/>
            <w:vAlign w:val="center"/>
          </w:tcPr>
          <w:p>
            <w:pPr>
              <w:spacing w:line="48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浙江政务服务网电脑端</w:t>
            </w:r>
          </w:p>
        </w:tc>
        <w:tc>
          <w:tcPr>
            <w:tcW w:w="1866" w:type="dxa"/>
            <w:noWrap w:val="0"/>
            <w:vAlign w:val="center"/>
          </w:tcPr>
          <w:p>
            <w:pPr>
              <w:spacing w:line="48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“浙里办”移动客户端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578" w:type="dxa"/>
            <w:noWrap w:val="0"/>
            <w:vAlign w:val="center"/>
          </w:tcPr>
          <w:p>
            <w:pPr>
              <w:jc w:val="center"/>
              <w:rPr>
                <w:rFonts w:ascii="楷体_GB2312" w:hAnsi="楷体_GB2312" w:eastAsia="楷体_GB2312" w:cs="楷体_GB2312"/>
                <w:sz w:val="28"/>
                <w:szCs w:val="28"/>
              </w:rPr>
            </w:pPr>
          </w:p>
        </w:tc>
        <w:tc>
          <w:tcPr>
            <w:tcW w:w="1137" w:type="dxa"/>
            <w:noWrap w:val="0"/>
            <w:vAlign w:val="center"/>
          </w:tcPr>
          <w:p>
            <w:pPr>
              <w:jc w:val="center"/>
              <w:rPr>
                <w:rFonts w:ascii="楷体_GB2312" w:hAnsi="楷体_GB2312" w:eastAsia="楷体_GB2312" w:cs="楷体_GB2312"/>
                <w:sz w:val="28"/>
                <w:szCs w:val="28"/>
              </w:rPr>
            </w:pPr>
          </w:p>
        </w:tc>
        <w:tc>
          <w:tcPr>
            <w:tcW w:w="2187" w:type="dxa"/>
            <w:noWrap w:val="0"/>
            <w:vAlign w:val="center"/>
          </w:tcPr>
          <w:p>
            <w:pPr>
              <w:jc w:val="center"/>
              <w:rPr>
                <w:rFonts w:ascii="楷体_GB2312" w:hAnsi="楷体_GB2312" w:eastAsia="楷体_GB2312" w:cs="楷体_GB2312"/>
                <w:sz w:val="28"/>
                <w:szCs w:val="28"/>
              </w:rPr>
            </w:pPr>
          </w:p>
        </w:tc>
        <w:tc>
          <w:tcPr>
            <w:tcW w:w="5897" w:type="dxa"/>
            <w:noWrap w:val="0"/>
            <w:vAlign w:val="center"/>
          </w:tcPr>
          <w:p>
            <w:pPr>
              <w:jc w:val="center"/>
              <w:rPr>
                <w:rFonts w:ascii="楷体_GB2312" w:hAnsi="楷体_GB2312" w:eastAsia="楷体_GB2312" w:cs="楷体_GB2312"/>
                <w:sz w:val="28"/>
                <w:szCs w:val="28"/>
              </w:rPr>
            </w:pPr>
          </w:p>
        </w:tc>
        <w:tc>
          <w:tcPr>
            <w:tcW w:w="1935" w:type="dxa"/>
            <w:noWrap w:val="0"/>
            <w:vAlign w:val="center"/>
          </w:tcPr>
          <w:p>
            <w:pPr>
              <w:jc w:val="center"/>
              <w:rPr>
                <w:rFonts w:ascii="楷体_GB2312" w:hAnsi="楷体_GB2312" w:eastAsia="楷体_GB2312" w:cs="楷体_GB2312"/>
                <w:sz w:val="28"/>
                <w:szCs w:val="28"/>
              </w:rPr>
            </w:pPr>
          </w:p>
        </w:tc>
        <w:tc>
          <w:tcPr>
            <w:tcW w:w="1866" w:type="dxa"/>
            <w:noWrap w:val="0"/>
            <w:vAlign w:val="center"/>
          </w:tcPr>
          <w:p>
            <w:pPr>
              <w:jc w:val="center"/>
              <w:rPr>
                <w:rFonts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578" w:type="dxa"/>
            <w:noWrap w:val="0"/>
            <w:vAlign w:val="center"/>
          </w:tcPr>
          <w:p>
            <w:pPr>
              <w:jc w:val="center"/>
              <w:rPr>
                <w:rFonts w:ascii="楷体_GB2312" w:hAnsi="楷体_GB2312" w:eastAsia="楷体_GB2312" w:cs="楷体_GB2312"/>
                <w:sz w:val="28"/>
                <w:szCs w:val="28"/>
              </w:rPr>
            </w:pPr>
          </w:p>
        </w:tc>
        <w:tc>
          <w:tcPr>
            <w:tcW w:w="1137" w:type="dxa"/>
            <w:noWrap w:val="0"/>
            <w:vAlign w:val="center"/>
          </w:tcPr>
          <w:p>
            <w:pPr>
              <w:jc w:val="center"/>
              <w:rPr>
                <w:rFonts w:ascii="楷体_GB2312" w:hAnsi="楷体_GB2312" w:eastAsia="楷体_GB2312" w:cs="楷体_GB2312"/>
                <w:sz w:val="28"/>
                <w:szCs w:val="28"/>
              </w:rPr>
            </w:pPr>
          </w:p>
        </w:tc>
        <w:tc>
          <w:tcPr>
            <w:tcW w:w="2187" w:type="dxa"/>
            <w:noWrap w:val="0"/>
            <w:vAlign w:val="center"/>
          </w:tcPr>
          <w:p>
            <w:pPr>
              <w:jc w:val="center"/>
              <w:rPr>
                <w:rFonts w:ascii="楷体_GB2312" w:hAnsi="楷体_GB2312" w:eastAsia="楷体_GB2312" w:cs="楷体_GB2312"/>
                <w:sz w:val="28"/>
                <w:szCs w:val="28"/>
              </w:rPr>
            </w:pPr>
          </w:p>
        </w:tc>
        <w:tc>
          <w:tcPr>
            <w:tcW w:w="5897" w:type="dxa"/>
            <w:noWrap w:val="0"/>
            <w:vAlign w:val="center"/>
          </w:tcPr>
          <w:p>
            <w:pPr>
              <w:jc w:val="center"/>
              <w:rPr>
                <w:rFonts w:ascii="楷体_GB2312" w:hAnsi="楷体_GB2312" w:eastAsia="楷体_GB2312" w:cs="楷体_GB2312"/>
                <w:sz w:val="28"/>
                <w:szCs w:val="28"/>
              </w:rPr>
            </w:pPr>
          </w:p>
        </w:tc>
        <w:tc>
          <w:tcPr>
            <w:tcW w:w="1935" w:type="dxa"/>
            <w:noWrap w:val="0"/>
            <w:vAlign w:val="center"/>
          </w:tcPr>
          <w:p>
            <w:pPr>
              <w:jc w:val="center"/>
              <w:rPr>
                <w:rFonts w:ascii="楷体_GB2312" w:hAnsi="楷体_GB2312" w:eastAsia="楷体_GB2312" w:cs="楷体_GB2312"/>
                <w:sz w:val="28"/>
                <w:szCs w:val="28"/>
              </w:rPr>
            </w:pPr>
          </w:p>
        </w:tc>
        <w:tc>
          <w:tcPr>
            <w:tcW w:w="1866" w:type="dxa"/>
            <w:noWrap w:val="0"/>
            <w:vAlign w:val="center"/>
          </w:tcPr>
          <w:p>
            <w:pPr>
              <w:jc w:val="center"/>
              <w:rPr>
                <w:rFonts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578" w:type="dxa"/>
            <w:noWrap w:val="0"/>
            <w:vAlign w:val="center"/>
          </w:tcPr>
          <w:p>
            <w:pPr>
              <w:jc w:val="center"/>
              <w:rPr>
                <w:rFonts w:ascii="楷体_GB2312" w:hAnsi="楷体_GB2312" w:eastAsia="楷体_GB2312" w:cs="楷体_GB2312"/>
                <w:sz w:val="28"/>
                <w:szCs w:val="28"/>
              </w:rPr>
            </w:pPr>
          </w:p>
        </w:tc>
        <w:tc>
          <w:tcPr>
            <w:tcW w:w="1137" w:type="dxa"/>
            <w:noWrap w:val="0"/>
            <w:vAlign w:val="center"/>
          </w:tcPr>
          <w:p>
            <w:pPr>
              <w:jc w:val="center"/>
              <w:rPr>
                <w:rFonts w:ascii="楷体_GB2312" w:hAnsi="楷体_GB2312" w:eastAsia="楷体_GB2312" w:cs="楷体_GB2312"/>
                <w:sz w:val="28"/>
                <w:szCs w:val="28"/>
              </w:rPr>
            </w:pPr>
          </w:p>
        </w:tc>
        <w:tc>
          <w:tcPr>
            <w:tcW w:w="2187" w:type="dxa"/>
            <w:noWrap w:val="0"/>
            <w:vAlign w:val="center"/>
          </w:tcPr>
          <w:p>
            <w:pPr>
              <w:jc w:val="center"/>
              <w:rPr>
                <w:rFonts w:ascii="楷体_GB2312" w:hAnsi="楷体_GB2312" w:eastAsia="楷体_GB2312" w:cs="楷体_GB2312"/>
                <w:sz w:val="28"/>
                <w:szCs w:val="28"/>
              </w:rPr>
            </w:pPr>
          </w:p>
        </w:tc>
        <w:tc>
          <w:tcPr>
            <w:tcW w:w="5897" w:type="dxa"/>
            <w:noWrap w:val="0"/>
            <w:vAlign w:val="center"/>
          </w:tcPr>
          <w:p>
            <w:pPr>
              <w:jc w:val="center"/>
              <w:rPr>
                <w:rFonts w:ascii="楷体_GB2312" w:hAnsi="楷体_GB2312" w:eastAsia="楷体_GB2312" w:cs="楷体_GB2312"/>
                <w:sz w:val="28"/>
                <w:szCs w:val="28"/>
              </w:rPr>
            </w:pPr>
          </w:p>
        </w:tc>
        <w:tc>
          <w:tcPr>
            <w:tcW w:w="1935" w:type="dxa"/>
            <w:noWrap w:val="0"/>
            <w:vAlign w:val="center"/>
          </w:tcPr>
          <w:p>
            <w:pPr>
              <w:jc w:val="center"/>
              <w:rPr>
                <w:rFonts w:ascii="楷体_GB2312" w:hAnsi="楷体_GB2312" w:eastAsia="楷体_GB2312" w:cs="楷体_GB2312"/>
                <w:sz w:val="28"/>
                <w:szCs w:val="28"/>
              </w:rPr>
            </w:pPr>
          </w:p>
        </w:tc>
        <w:tc>
          <w:tcPr>
            <w:tcW w:w="1866" w:type="dxa"/>
            <w:noWrap w:val="0"/>
            <w:vAlign w:val="center"/>
          </w:tcPr>
          <w:p>
            <w:pPr>
              <w:jc w:val="center"/>
              <w:rPr>
                <w:rFonts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578" w:type="dxa"/>
            <w:noWrap w:val="0"/>
            <w:vAlign w:val="center"/>
          </w:tcPr>
          <w:p>
            <w:pPr>
              <w:jc w:val="center"/>
              <w:rPr>
                <w:rFonts w:ascii="楷体_GB2312" w:hAnsi="楷体_GB2312" w:eastAsia="楷体_GB2312" w:cs="楷体_GB2312"/>
                <w:sz w:val="28"/>
                <w:szCs w:val="28"/>
              </w:rPr>
            </w:pPr>
          </w:p>
        </w:tc>
        <w:tc>
          <w:tcPr>
            <w:tcW w:w="1137" w:type="dxa"/>
            <w:noWrap w:val="0"/>
            <w:vAlign w:val="center"/>
          </w:tcPr>
          <w:p>
            <w:pPr>
              <w:jc w:val="center"/>
              <w:rPr>
                <w:rFonts w:ascii="楷体_GB2312" w:hAnsi="楷体_GB2312" w:eastAsia="楷体_GB2312" w:cs="楷体_GB2312"/>
                <w:sz w:val="28"/>
                <w:szCs w:val="28"/>
              </w:rPr>
            </w:pPr>
          </w:p>
        </w:tc>
        <w:tc>
          <w:tcPr>
            <w:tcW w:w="2187" w:type="dxa"/>
            <w:noWrap w:val="0"/>
            <w:vAlign w:val="center"/>
          </w:tcPr>
          <w:p>
            <w:pPr>
              <w:jc w:val="center"/>
              <w:rPr>
                <w:rFonts w:ascii="楷体_GB2312" w:hAnsi="楷体_GB2312" w:eastAsia="楷体_GB2312" w:cs="楷体_GB2312"/>
                <w:sz w:val="28"/>
                <w:szCs w:val="28"/>
              </w:rPr>
            </w:pPr>
          </w:p>
        </w:tc>
        <w:tc>
          <w:tcPr>
            <w:tcW w:w="5897" w:type="dxa"/>
            <w:noWrap w:val="0"/>
            <w:vAlign w:val="center"/>
          </w:tcPr>
          <w:p>
            <w:pPr>
              <w:jc w:val="center"/>
              <w:rPr>
                <w:rFonts w:ascii="楷体_GB2312" w:hAnsi="楷体_GB2312" w:eastAsia="楷体_GB2312" w:cs="楷体_GB2312"/>
                <w:sz w:val="28"/>
                <w:szCs w:val="28"/>
              </w:rPr>
            </w:pPr>
          </w:p>
        </w:tc>
        <w:tc>
          <w:tcPr>
            <w:tcW w:w="1935" w:type="dxa"/>
            <w:noWrap w:val="0"/>
            <w:vAlign w:val="center"/>
          </w:tcPr>
          <w:p>
            <w:pPr>
              <w:jc w:val="center"/>
              <w:rPr>
                <w:rFonts w:ascii="楷体_GB2312" w:hAnsi="楷体_GB2312" w:eastAsia="楷体_GB2312" w:cs="楷体_GB2312"/>
                <w:sz w:val="28"/>
                <w:szCs w:val="28"/>
              </w:rPr>
            </w:pPr>
          </w:p>
        </w:tc>
        <w:tc>
          <w:tcPr>
            <w:tcW w:w="1866" w:type="dxa"/>
            <w:noWrap w:val="0"/>
            <w:vAlign w:val="center"/>
          </w:tcPr>
          <w:p>
            <w:pPr>
              <w:jc w:val="center"/>
              <w:rPr>
                <w:rFonts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578" w:type="dxa"/>
            <w:noWrap w:val="0"/>
            <w:vAlign w:val="center"/>
          </w:tcPr>
          <w:p>
            <w:pPr>
              <w:jc w:val="center"/>
              <w:rPr>
                <w:rFonts w:ascii="楷体_GB2312" w:hAnsi="楷体_GB2312" w:eastAsia="楷体_GB2312" w:cs="楷体_GB2312"/>
                <w:sz w:val="28"/>
                <w:szCs w:val="28"/>
              </w:rPr>
            </w:pPr>
          </w:p>
        </w:tc>
        <w:tc>
          <w:tcPr>
            <w:tcW w:w="1137" w:type="dxa"/>
            <w:noWrap w:val="0"/>
            <w:vAlign w:val="center"/>
          </w:tcPr>
          <w:p>
            <w:pPr>
              <w:jc w:val="center"/>
              <w:rPr>
                <w:rFonts w:ascii="楷体_GB2312" w:hAnsi="楷体_GB2312" w:eastAsia="楷体_GB2312" w:cs="楷体_GB2312"/>
                <w:sz w:val="28"/>
                <w:szCs w:val="28"/>
              </w:rPr>
            </w:pPr>
          </w:p>
        </w:tc>
        <w:tc>
          <w:tcPr>
            <w:tcW w:w="2187" w:type="dxa"/>
            <w:noWrap w:val="0"/>
            <w:vAlign w:val="center"/>
          </w:tcPr>
          <w:p>
            <w:pPr>
              <w:jc w:val="center"/>
              <w:rPr>
                <w:rFonts w:ascii="楷体_GB2312" w:hAnsi="楷体_GB2312" w:eastAsia="楷体_GB2312" w:cs="楷体_GB2312"/>
                <w:sz w:val="28"/>
                <w:szCs w:val="28"/>
              </w:rPr>
            </w:pPr>
          </w:p>
        </w:tc>
        <w:tc>
          <w:tcPr>
            <w:tcW w:w="5897" w:type="dxa"/>
            <w:noWrap w:val="0"/>
            <w:vAlign w:val="center"/>
          </w:tcPr>
          <w:p>
            <w:pPr>
              <w:jc w:val="center"/>
              <w:rPr>
                <w:rFonts w:ascii="楷体_GB2312" w:hAnsi="楷体_GB2312" w:eastAsia="楷体_GB2312" w:cs="楷体_GB2312"/>
                <w:sz w:val="28"/>
                <w:szCs w:val="28"/>
              </w:rPr>
            </w:pPr>
          </w:p>
        </w:tc>
        <w:tc>
          <w:tcPr>
            <w:tcW w:w="1935" w:type="dxa"/>
            <w:noWrap w:val="0"/>
            <w:vAlign w:val="center"/>
          </w:tcPr>
          <w:p>
            <w:pPr>
              <w:jc w:val="center"/>
              <w:rPr>
                <w:rFonts w:ascii="楷体_GB2312" w:hAnsi="楷体_GB2312" w:eastAsia="楷体_GB2312" w:cs="楷体_GB2312"/>
                <w:sz w:val="28"/>
                <w:szCs w:val="28"/>
              </w:rPr>
            </w:pPr>
          </w:p>
        </w:tc>
        <w:tc>
          <w:tcPr>
            <w:tcW w:w="1866" w:type="dxa"/>
            <w:noWrap w:val="0"/>
            <w:vAlign w:val="center"/>
          </w:tcPr>
          <w:p>
            <w:pPr>
              <w:jc w:val="center"/>
              <w:rPr>
                <w:rFonts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578" w:type="dxa"/>
            <w:noWrap w:val="0"/>
            <w:vAlign w:val="center"/>
          </w:tcPr>
          <w:p>
            <w:pPr>
              <w:jc w:val="center"/>
              <w:rPr>
                <w:rFonts w:ascii="楷体_GB2312" w:hAnsi="楷体_GB2312" w:eastAsia="楷体_GB2312" w:cs="楷体_GB2312"/>
                <w:sz w:val="28"/>
                <w:szCs w:val="28"/>
              </w:rPr>
            </w:pPr>
          </w:p>
        </w:tc>
        <w:tc>
          <w:tcPr>
            <w:tcW w:w="1137" w:type="dxa"/>
            <w:noWrap w:val="0"/>
            <w:vAlign w:val="center"/>
          </w:tcPr>
          <w:p>
            <w:pPr>
              <w:jc w:val="center"/>
              <w:rPr>
                <w:rFonts w:ascii="楷体_GB2312" w:hAnsi="楷体_GB2312" w:eastAsia="楷体_GB2312" w:cs="楷体_GB2312"/>
                <w:sz w:val="28"/>
                <w:szCs w:val="28"/>
              </w:rPr>
            </w:pPr>
          </w:p>
        </w:tc>
        <w:tc>
          <w:tcPr>
            <w:tcW w:w="2187" w:type="dxa"/>
            <w:noWrap w:val="0"/>
            <w:vAlign w:val="center"/>
          </w:tcPr>
          <w:p>
            <w:pPr>
              <w:jc w:val="center"/>
              <w:rPr>
                <w:rFonts w:ascii="楷体_GB2312" w:hAnsi="楷体_GB2312" w:eastAsia="楷体_GB2312" w:cs="楷体_GB2312"/>
                <w:sz w:val="28"/>
                <w:szCs w:val="28"/>
              </w:rPr>
            </w:pPr>
          </w:p>
        </w:tc>
        <w:tc>
          <w:tcPr>
            <w:tcW w:w="5897" w:type="dxa"/>
            <w:noWrap w:val="0"/>
            <w:vAlign w:val="center"/>
          </w:tcPr>
          <w:p>
            <w:pPr>
              <w:jc w:val="center"/>
              <w:rPr>
                <w:rFonts w:ascii="楷体_GB2312" w:hAnsi="楷体_GB2312" w:eastAsia="楷体_GB2312" w:cs="楷体_GB2312"/>
                <w:sz w:val="28"/>
                <w:szCs w:val="28"/>
              </w:rPr>
            </w:pPr>
          </w:p>
        </w:tc>
        <w:tc>
          <w:tcPr>
            <w:tcW w:w="1935" w:type="dxa"/>
            <w:noWrap w:val="0"/>
            <w:vAlign w:val="center"/>
          </w:tcPr>
          <w:p>
            <w:pPr>
              <w:jc w:val="center"/>
              <w:rPr>
                <w:rFonts w:ascii="楷体_GB2312" w:hAnsi="楷体_GB2312" w:eastAsia="楷体_GB2312" w:cs="楷体_GB2312"/>
                <w:sz w:val="28"/>
                <w:szCs w:val="28"/>
              </w:rPr>
            </w:pPr>
          </w:p>
        </w:tc>
        <w:tc>
          <w:tcPr>
            <w:tcW w:w="1866" w:type="dxa"/>
            <w:noWrap w:val="0"/>
            <w:vAlign w:val="center"/>
          </w:tcPr>
          <w:p>
            <w:pPr>
              <w:jc w:val="center"/>
              <w:rPr>
                <w:rFonts w:ascii="楷体_GB2312" w:hAnsi="楷体_GB2312" w:eastAsia="楷体_GB2312" w:cs="楷体_GB2312"/>
                <w:sz w:val="28"/>
                <w:szCs w:val="28"/>
              </w:rPr>
            </w:pPr>
          </w:p>
        </w:tc>
      </w:tr>
    </w:tbl>
    <w:p>
      <w:pPr>
        <w:rPr>
          <w:rFonts w:hint="eastAsia" w:ascii="仿宋" w:hAnsi="仿宋" w:eastAsia="仿宋" w:cs="仿宋"/>
          <w:sz w:val="24"/>
          <w:szCs w:val="24"/>
          <w:lang w:val="en-US" w:eastAsia="zh-CN"/>
        </w:rPr>
        <w:sectPr>
          <w:pgSz w:w="16838" w:h="11906" w:orient="landscape"/>
          <w:pgMar w:top="1800" w:right="1440" w:bottom="1800" w:left="1440" w:header="851" w:footer="992" w:gutter="0"/>
          <w:pgNumType w:fmt="numberInDash"/>
          <w:cols w:space="720" w:num="1"/>
          <w:docGrid w:type="lines" w:linePitch="312" w:charSpace="0"/>
        </w:sectPr>
      </w:pPr>
      <w:r>
        <w:rPr>
          <w:rFonts w:hint="eastAsia" w:ascii="仿宋" w:hAnsi="仿宋" w:eastAsia="仿宋" w:cs="仿宋"/>
          <w:sz w:val="24"/>
          <w:szCs w:val="24"/>
          <w:lang w:eastAsia="zh-CN"/>
        </w:rPr>
        <w:t>请于每月</w:t>
      </w:r>
      <w:r>
        <w:rPr>
          <w:rFonts w:hint="eastAsia" w:ascii="仿宋" w:hAnsi="仿宋" w:eastAsia="仿宋" w:cs="仿宋"/>
          <w:sz w:val="24"/>
          <w:szCs w:val="24"/>
          <w:lang w:val="en-US" w:eastAsia="zh-CN"/>
        </w:rPr>
        <w:t>17日，将此表报送至区数据资源局，联系人徐国炬，电子邮箱 ：dzzz@xs.zj.cn，联系电话：82898620。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“一证通办”事项办事指南信息修改要求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民生事项“一证通办”事项完成系统功能改造后，需按照以下要求，在浙江政务服务网事项库中进行办事指南信息修改。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一、简化申报表格。更新“申报材料”中标准化申报表的空白表格、示例表格，简化所需填写的内容，对于可通过数据共享调用的字段，不再要求填写。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二、标记共享材料。针对“申报材料”中可共享调用的材料，“材料形式”设置为“系统自动获取，无需申请者提交”或“系统自动获取，如数据不全则需申请者提交”。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如已直接取消材料，无需系统调用，则将“是否对外显示”设为“不显示”。注意：浙江政务服务网将进行材料减免情况统计，所以对于直接取消的材料，不要直接删除该项材料，而是将其设为不对外显示。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三、勾选“一证通办实现情况”。在“一证通办实现情况”栏，勾选“一证通办”或“部分情况一证通办”（指实现了在某些办事场景下的一证通办）。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提示：省级部门可通过事项库的全省统一管控功能进行全省统一设置。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区级有关单位名单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档案馆、医疗保障萧山分局、区教育局、区公安分局、区民政局、区司法局、区人力社保局、区退役军人事务局、区应急管理局、规划和自然资源萧山分局、区住建局、区卫生健康局、区市场监管局、区税务局、区气象局</w:t>
      </w:r>
      <w:r>
        <w:rPr>
          <w:rFonts w:hint="eastAsia" w:ascii="仿宋" w:hAnsi="仿宋" w:eastAsia="仿宋" w:cs="仿宋"/>
          <w:sz w:val="32"/>
          <w:szCs w:val="32"/>
          <w:lang w:eastAsia="zh-CN"/>
        </w:rPr>
        <w:t>、公积金萧山分中心、区环境集团、钱江海关驻萧然办事处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p>
  <w:p>
    <w:pPr>
      <w:pStyle w:val="2"/>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003B3"/>
    <w:multiLevelType w:val="singleLevel"/>
    <w:tmpl w:val="5CB003B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C1608"/>
    <w:rsid w:val="24602589"/>
    <w:rsid w:val="25E3232D"/>
    <w:rsid w:val="565C1608"/>
    <w:rsid w:val="784F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9672</Words>
  <Characters>12795</Characters>
  <Lines>0</Lines>
  <Paragraphs>0</Paragraphs>
  <TotalTime>26</TotalTime>
  <ScaleCrop>false</ScaleCrop>
  <LinksUpToDate>false</LinksUpToDate>
  <CharactersWithSpaces>12862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2019-05-20T07:15:00Z</dcterms:created>
  <dc:creator>Administrator</dc:creator>
  <cp:lastModifiedBy>Administrator</cp:lastModifiedBy>
  <dcterms:modified xsi:type="dcterms:W3CDTF">2019-05-20T08:07:50Z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