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60" w:lineRule="exact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关于G60长三角地区政务服务“一网通办”相关工作的会议通知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根据《国务院办公厅秘书局关于印发长三角地区政务服务"一网通办"试点工作方案的通知》（国办秘函〔2019〕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15号）、《长三角地区政务服务“一网通办”试点浙江省实施方案》的文件要求，积极推进长三角地区“一网通办”，实现政务服务事项异地通办。具体通知如下：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5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一、会议时间：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2019年5月10日（周五）下午3:00。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5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二、会议地点：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萧山区市心中路1069号（科技创新中心B楼）区行政服务中心七楼714会议室。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5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三、参会人员：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区市场监督管理局、区医保分局、区人社局、区老龄委、区档案馆、区卫健局、区教育局、区退役军人事务局、区公安分局、区民政局、区税务局、区办事服务中心。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请涉及首批事项的相关部门积极配合，准时派员参加会议。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联系人：王勤；联系电话：82899723。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2019年5月9日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附：首批事项及涉及部门：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企业事项清单</w:t>
      </w:r>
    </w:p>
    <w:tbl>
      <w:tblPr>
        <w:tblStyle w:val="2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058"/>
        <w:gridCol w:w="537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blHeader/>
        </w:trPr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事项名称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涉及部门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8" w:hRule="atLeast"/>
        </w:trPr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内资有限公司设立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内资有限公司经营范围变更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内资有限公司经营期限变更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内资有限公司住所变更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内资有限公司法定代表人变更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内资有限公司股东变更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内资有限公司注销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内资有限公司清算组备案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9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内资有限公司章程备案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内资有限公司董事备案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内资有限公司监事备案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内资有限公司分公司设立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内资有限公司分公司负责人变更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内资有限公司分公司经营期限变更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内资有限公司分公司营业场所变更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内资有限公司分公司注销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个人独资企业设立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个人独资企业经营范围变更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个人独资企业住所变更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个人独资企业投资人变更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个人独资企业注销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个人独资企业分支机构设立</w:t>
            </w:r>
          </w:p>
        </w:tc>
        <w:tc>
          <w:tcPr>
            <w:tcW w:w="2693" w:type="dxa"/>
            <w:vAlign w:val="top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 w:firstLineChars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23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个人独资企业分支机构经营场所变更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个人独资企业分支机构负责人变更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25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个人独资企业分支机构注销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26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外商投资公司设立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27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外商投资公司章程备案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28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外商投资公司注销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29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工业产品生产许可证发证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058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30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工业产品生产许可证注销</w:t>
            </w:r>
          </w:p>
        </w:tc>
        <w:tc>
          <w:tcPr>
            <w:tcW w:w="2693" w:type="dxa"/>
          </w:tcPr>
          <w:p>
            <w:pPr>
              <w:adjustRightInd w:val="0"/>
              <w:snapToGrid w:val="0"/>
              <w:spacing w:before="15" w:beforeLines="5" w:after="15" w:afterLines="5"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区市场监督管理局</w:t>
            </w:r>
          </w:p>
        </w:tc>
      </w:tr>
    </w:tbl>
    <w:p>
      <w:pPr>
        <w:widowControl w:val="0"/>
        <w:spacing w:before="156" w:beforeLines="50" w:after="156" w:afterLines="5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</w:p>
    <w:p>
      <w:pPr>
        <w:widowControl w:val="0"/>
        <w:spacing w:before="156" w:beforeLines="50" w:after="156" w:afterLines="50"/>
        <w:jc w:val="center"/>
        <w:textAlignment w:val="auto"/>
        <w:rPr>
          <w:rFonts w:hint="eastAsia" w:ascii="仿宋" w:hAnsi="仿宋" w:eastAsia="仿宋" w:cs="仿宋"/>
          <w:kern w:val="21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个人事项清单</w:t>
      </w:r>
    </w:p>
    <w:tbl>
      <w:tblPr>
        <w:tblStyle w:val="2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95"/>
        <w:gridCol w:w="637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  <w:tblHeader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6373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事项名称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涉及部门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办理跨省异地就医登记备案相关手续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提供个人社会保险咨询和参保情况查询及个人参保资料（含个人缴费凭证）打印服务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城镇职工基本养老保险转移接续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敬老卡申领、发放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区老龄委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婚姻登记档案查询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独生子女证档案查询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知青上山下乡档案查询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知青返城档案查询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9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知青子女入户档案查询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再生育子女审批档案查询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工伤认定档案查询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学籍档案查询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兵役档案查询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复员退伍军人档案查询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三峡移民档案查询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人才引进审批档案查询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区公安分局、区人社局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享受民政社会救助项目证明出具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个人所得税查询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婚姻登记预约服务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办理就医关系转移相关手续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区医保分局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3" w:hRule="exact"/>
        </w:trPr>
        <w:tc>
          <w:tcPr>
            <w:tcW w:w="895" w:type="dxa"/>
            <w:vAlign w:val="center"/>
          </w:tcPr>
          <w:p>
            <w:pPr>
              <w:adjustRightInd w:val="0"/>
              <w:spacing w:line="360" w:lineRule="auto"/>
              <w:ind w:firstLine="4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6373" w:type="dxa"/>
            <w:vAlign w:val="center"/>
          </w:tcPr>
          <w:p>
            <w:pPr>
              <w:spacing w:line="360" w:lineRule="auto"/>
              <w:ind w:left="105" w:leftChars="50" w:firstLine="48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社保卡申请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ind w:left="105" w:leftChars="50" w:firstLine="48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区人社局</w:t>
            </w: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42F1"/>
    <w:rsid w:val="2EE50286"/>
    <w:rsid w:val="576D42F1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1443</Characters>
  <Lines>0</Lines>
  <Paragraphs>0</Paragraphs>
  <TotalTime>7</TotalTime>
  <ScaleCrop>false</ScaleCrop>
  <LinksUpToDate>false</LinksUpToDate>
  <CharactersWithSpaces>1471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2019-05-09T08:23:00Z</dcterms:created>
  <dc:creator>Administrator</dc:creator>
  <cp:lastModifiedBy>Administrator</cp:lastModifiedBy>
  <dcterms:modified xsi:type="dcterms:W3CDTF">2019-05-09T08:36:42Z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