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8700" w:type="dxa"/>
            <w:tcBorders>
              <w:top w:val="nil"/>
              <w:left w:val="nil"/>
              <w:bottom w:val="single" w:color="FF0000" w:sz="18" w:space="0"/>
              <w:right w:val="nil"/>
            </w:tcBorders>
            <w:noWrap/>
            <w:vAlign w:val="top"/>
          </w:tcPr>
          <w:p>
            <w:pPr>
              <w:spacing w:line="336" w:lineRule="auto"/>
              <w:rPr>
                <w:rFonts w:hint="eastAsia" w:ascii="仿宋_GB2312"/>
                <w:kern w:val="0"/>
                <w:sz w:val="32"/>
                <w:szCs w:val="32"/>
              </w:rPr>
            </w:pPr>
          </w:p>
          <w:p>
            <w:pPr>
              <w:spacing w:line="336" w:lineRule="auto"/>
              <w:jc w:val="center"/>
              <w:rPr>
                <w:rFonts w:ascii="仿宋_GB2312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萧跑改通〔</w:t>
            </w:r>
            <w:r>
              <w:rPr>
                <w:rFonts w:ascii="仿宋_GB2312" w:eastAsia="仿宋_GB2312"/>
                <w:kern w:val="0"/>
                <w:sz w:val="32"/>
                <w:szCs w:val="32"/>
              </w:rPr>
              <w:t>20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  <w:r>
              <w:rPr>
                <w:rFonts w:hint="eastAsia" w:ascii="仿宋_GB2312"/>
                <w:kern w:val="0"/>
                <w:sz w:val="32"/>
                <w:szCs w:val="32"/>
              </w:rPr>
              <w:t>9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96</w:t>
            </w: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号</w:t>
            </w:r>
          </w:p>
        </w:tc>
      </w:tr>
    </w:tbl>
    <w:tbl>
      <w:tblPr>
        <w:tblStyle w:val="4"/>
        <w:tblpPr w:leftFromText="180" w:rightFromText="180" w:vertAnchor="page" w:horzAnchor="margin" w:tblpY="2552"/>
        <w:tblW w:w="86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680" w:type="dxa"/>
            <w:noWrap/>
            <w:vAlign w:val="center"/>
          </w:tcPr>
          <w:p>
            <w:pPr>
              <w:spacing w:line="300" w:lineRule="auto"/>
              <w:jc w:val="center"/>
              <w:rPr>
                <w:rFonts w:ascii="方正小标宋简体" w:eastAsia="方正小标宋简体"/>
                <w:color w:val="FF0000"/>
                <w:w w:val="70"/>
                <w:kern w:val="0"/>
                <w:sz w:val="72"/>
                <w:szCs w:val="72"/>
              </w:rPr>
            </w:pPr>
            <w:r>
              <w:rPr>
                <w:rFonts w:hint="eastAsia" w:ascii="方正小标宋简体" w:eastAsia="方正小标宋简体"/>
                <w:color w:val="FF0000"/>
                <w:spacing w:val="-6"/>
                <w:w w:val="44"/>
                <w:kern w:val="0"/>
                <w:sz w:val="72"/>
                <w:szCs w:val="72"/>
                <w:fitText w:val="8893" w:id="0"/>
              </w:rPr>
              <w:t>杭州市萧山区全面深化“最多跑一次”改革领导小组办公室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微软雅黑" w:eastAsia="方正小标宋_GBK" w:cs="微软雅黑"/>
          <w:spacing w:val="0"/>
          <w:sz w:val="44"/>
          <w:szCs w:val="44"/>
          <w:lang w:eastAsia="zh-CN"/>
        </w:rPr>
      </w:pPr>
      <w:r>
        <w:rPr>
          <w:rFonts w:hint="eastAsia" w:ascii="方正小标宋_GBK" w:hAnsi="微软雅黑" w:eastAsia="方正小标宋_GBK" w:cs="微软雅黑"/>
          <w:spacing w:val="0"/>
          <w:sz w:val="44"/>
          <w:szCs w:val="44"/>
          <w:lang w:eastAsia="zh-CN"/>
        </w:rPr>
        <w:t>“就近办”工作九月督查通知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各相关部门：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根据“就近办”工作推进部署，第一批、第二批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15个镇街已完成落地工作，为检查各镇街落地真实情况，经商议，决定进行9月第一次“就近办”工作督查。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时间：9月18日全天，上午8点40分在区行政服务中心东门集中同时前往。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人员：区跑改办、区数管局、区医保分局、区社保局、区就业处、区市民卡公司各派遣一名业务骨干人员参加督查。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要求：各单位参加人员请自行准备好涉及本单位“就近办”下沉业务督查所需材料。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请各部门于9月17日中午下班前，将参加人员姓名、手机号码反馈至区跑改办。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联络人：徐晔翀，82898184。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邮箱：xszdpyc@163.com。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萧山区全面深化“最多跑一次”改革领导小组办公室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2019年9月16日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636A2"/>
    <w:rsid w:val="0B5636A2"/>
    <w:rsid w:val="0E5D17FA"/>
    <w:rsid w:val="178D2EC5"/>
    <w:rsid w:val="2C251DF6"/>
    <w:rsid w:val="3B8064B4"/>
    <w:rsid w:val="5326187E"/>
    <w:rsid w:val="5464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323</Words>
  <Characters>356</Characters>
  <Lines>0</Lines>
  <Paragraphs>0</Paragraphs>
  <TotalTime>4</TotalTime>
  <ScaleCrop>false</ScaleCrop>
  <LinksUpToDate>false</LinksUpToDate>
  <CharactersWithSpaces>356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2019-09-16T06:52:00Z</dcterms:created>
  <dc:creator>古董洗衣机</dc:creator>
  <cp:lastModifiedBy>小耳朵</cp:lastModifiedBy>
  <dcterms:modified xsi:type="dcterms:W3CDTF">2019-09-16T07:18:22Z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