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97" w:tblpY="1608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1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方正小标宋简体" w:hAnsi="Calibri" w:eastAsia="方正小标宋简体" w:cs="Calibri"/>
                <w:color w:val="FF0000"/>
                <w:spacing w:val="-20"/>
                <w:w w:val="70"/>
                <w:kern w:val="0"/>
                <w:sz w:val="72"/>
                <w:szCs w:val="72"/>
              </w:rPr>
            </w:pPr>
            <w:r>
              <w:rPr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836295</wp:posOffset>
                      </wp:positionV>
                      <wp:extent cx="5734050" cy="0"/>
                      <wp:effectExtent l="33655" t="24765" r="42545" b="8953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65505" y="1906270"/>
                                <a:ext cx="57340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65pt;margin-top:65.85pt;height:0pt;width:451.5pt;z-index:251658240;mso-width-relative:page;mso-height-relative:page;" filled="f" stroked="t" coordsize="21600,21600" o:gfxdata="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5rEW9gAAAAKAQAADwAA&#10;AAAAAAABACAAAAAiAAAAZHJzL2Rvd25yZXYueG1sUEsBAhQAFAAAAAgAh07iQN32ibkWAgAABAQA&#10;AA4AAAAAAAAAAQAgAAAAJwEAAGRycy9lMm9Eb2MueG1sUEsFBgAAAAAGAAYAWQEAAK8FAAAAAA==&#10;">
                      <v:fill on="f" focussize="0,0"/>
                      <v:stroke weight="2.25pt" color="#FF0000" joinstyle="round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line>
                  </w:pict>
                </mc:Fallback>
              </mc:AlternateContent>
            </w:r>
            <w:r>
              <w:rPr>
                <w:rFonts w:hint="eastAsia" w:ascii="方正小标宋简体" w:hAnsi="Calibri" w:eastAsia="方正小标宋简体" w:cs="Calibri"/>
                <w:color w:val="FF0000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</w:t>
            </w:r>
          </w:p>
        </w:tc>
      </w:tr>
    </w:tbl>
    <w:p>
      <w:pPr>
        <w:spacing w:line="55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微软雅黑" w:eastAsia="方正小标宋_GBK" w:cs="微软雅黑"/>
          <w:sz w:val="44"/>
          <w:szCs w:val="44"/>
        </w:rPr>
      </w:pPr>
      <w:bookmarkStart w:id="0" w:name="_GoBack"/>
      <w:r>
        <w:rPr>
          <w:rFonts w:hint="eastAsia" w:ascii="方正小标宋_GBK" w:hAnsi="微软雅黑" w:eastAsia="方正小标宋_GBK" w:cs="微软雅黑"/>
          <w:sz w:val="44"/>
          <w:szCs w:val="44"/>
        </w:rPr>
        <w:t>“一件事”改革工作进度周报（第</w:t>
      </w:r>
      <w:r>
        <w:rPr>
          <w:rFonts w:hint="eastAsia" w:ascii="方正小标宋_GBK" w:hAnsi="微软雅黑" w:eastAsia="方正小标宋_GBK" w:cs="微软雅黑"/>
          <w:sz w:val="44"/>
          <w:szCs w:val="44"/>
          <w:lang w:eastAsia="zh-CN"/>
        </w:rPr>
        <w:t>四</w:t>
      </w:r>
      <w:r>
        <w:rPr>
          <w:rFonts w:hint="eastAsia" w:ascii="方正小标宋_GBK" w:hAnsi="微软雅黑" w:eastAsia="方正小标宋_GBK" w:cs="微软雅黑"/>
          <w:sz w:val="44"/>
          <w:szCs w:val="44"/>
        </w:rPr>
        <w:t>期）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各相关区级单位：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第四周各“一件事”进展情况已统计完毕，</w:t>
      </w:r>
      <w:r>
        <w:rPr>
          <w:rFonts w:hint="eastAsia" w:ascii="仿宋" w:hAnsi="仿宋" w:eastAsia="仿宋" w:cs="仿宋"/>
          <w:sz w:val="32"/>
          <w:szCs w:val="32"/>
        </w:rPr>
        <w:t>现通报如下：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区民政局、区人社局、区医保分局、区规划与自然资源局、区农业农村局均有</w:t>
      </w:r>
      <w:r>
        <w:rPr>
          <w:rFonts w:hint="eastAsia" w:ascii="仿宋" w:hAnsi="仿宋" w:eastAsia="仿宋" w:cs="仿宋"/>
          <w:sz w:val="32"/>
          <w:szCs w:val="32"/>
        </w:rPr>
        <w:t>新增完成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一件事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事项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截止7月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日，我区共有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项“一件事”已完成。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目前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区卫健局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区公安分局、区税务局、区民政局、区人社局、区农业农村局牵头项目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完成率为100%；</w:t>
      </w:r>
      <w:r>
        <w:rPr>
          <w:rFonts w:hint="eastAsia" w:ascii="仿宋" w:hAnsi="仿宋" w:eastAsia="仿宋" w:cs="仿宋"/>
          <w:sz w:val="32"/>
          <w:szCs w:val="32"/>
        </w:rPr>
        <w:t>区市场监管局共牵头8项，完成率为37.5%；区医保分局共牵头3项，完成率为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67</w:t>
      </w:r>
      <w:r>
        <w:rPr>
          <w:rFonts w:hint="eastAsia" w:ascii="仿宋" w:hAnsi="仿宋" w:eastAsia="仿宋" w:cs="仿宋"/>
          <w:sz w:val="32"/>
          <w:szCs w:val="32"/>
        </w:rPr>
        <w:t>%；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区规划与自然资源局牵头的四项，</w:t>
      </w:r>
      <w:r>
        <w:rPr>
          <w:rFonts w:hint="eastAsia" w:ascii="仿宋" w:hAnsi="仿宋" w:eastAsia="仿宋" w:cs="仿宋"/>
          <w:sz w:val="32"/>
          <w:szCs w:val="32"/>
        </w:rPr>
        <w:t>完成率为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5%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其余部门完成率为0（详见附件1、2）。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进事项中，区退役军人事务局牵头的“军人退役”，区规划与自然资源局牵头的“农民建房”、“农房确权登记”，区供电公司牵头的“用电报装”，区市场监管局牵头的“洗车企业开办”、“药品经营（单体药店）”、“开办民宿”、“开办二手车交易公司（二手车交易市场经营者和二手车经营主体备案）”，与第三周相比无进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周，我区个性化“一件事”事项，各部门无申报。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1.萧山区公民个人全生命周期“一件事”改革进度表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2.萧山区企业全生命周期“一件事”改革进度表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萧山区全面深化“最多跑一次”改革领导小组办公室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              </w:t>
      </w:r>
      <w:r>
        <w:rPr>
          <w:rFonts w:hint="eastAsia" w:ascii="仿宋" w:hAnsi="仿宋" w:eastAsia="仿宋" w:cs="仿宋"/>
          <w:color w:val="ED7D31"/>
          <w:kern w:val="0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2019年7月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24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日</w:t>
      </w:r>
    </w:p>
    <w:p>
      <w:pP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附件1</w:t>
      </w:r>
    </w:p>
    <w:tbl>
      <w:tblPr>
        <w:tblStyle w:val="4"/>
        <w:tblW w:w="83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616"/>
        <w:gridCol w:w="1134"/>
        <w:gridCol w:w="1216"/>
        <w:gridCol w:w="1250"/>
        <w:gridCol w:w="1400"/>
        <w:gridCol w:w="176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83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_GBK" w:hAnsi="Times New Roman" w:eastAsia="方正小标宋_GBK" w:cs="Times New Roman"/>
                <w:spacing w:val="0"/>
                <w:kern w:val="2"/>
                <w:sz w:val="36"/>
                <w:szCs w:val="36"/>
                <w:lang w:val="en-US" w:eastAsia="zh-CN"/>
              </w:rPr>
              <w:t>萧山区公民个人全生命周期“一件事”改革进度表（2019.7.15-2019.7.19）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生命周期阶段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一件事名称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牵头单位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责任单位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当前进度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出生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新生儿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区卫健局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区公安分局、区人社局、区医保分局、市民卡公司、各医院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完成（市里统一）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区妇保医院试运行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收养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收养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区民政局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区民政局、区卫健局、区公安分局、区医保分局、市民卡公司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市级统一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上学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入园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区公安分局、区卫健局、区人社局、区规划与自然资源局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使用杭州市教育局平台，具体事项商讨中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上学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入学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区公安分局、区卫健局、区人社局、区规划与自然资源局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 w:bidi="ar"/>
              </w:rPr>
              <w:t>“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小学入学一件事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 w:bidi="ar"/>
              </w:rPr>
              <w:t>”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已实现，“初中入学一件事”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已实现线下联办，线上平台开发中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中考加分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少数民族考生中考加分确认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区统战部（民宗）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 w:bidi="ar"/>
              </w:rPr>
              <w:t>一窗受理平台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即将开通账号、测试流转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中考加分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归侨学生、归侨子女、华侨子女考生中考加分确认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区统战部（侨办）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 w:bidi="ar"/>
              </w:rPr>
              <w:t>一窗受理平台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即将开通账号、测试流转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中考加分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港澳居民子女子女考生中考加分确认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区府办（外办）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 w:bidi="ar"/>
              </w:rPr>
              <w:t>一窗受理平台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即将开通账号、测试流转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中考加分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台胞子女考生中考加分确认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区委办（台办））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 w:bidi="ar"/>
              </w:rPr>
              <w:t>一窗受理平台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即将开通账号、测试流转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中考加分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烈士子女参加中考优待确认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区退役军人事务局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 w:bidi="ar"/>
              </w:rPr>
              <w:t>一窗受理平台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即将开通账号、测试流转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中考加分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因公死亡等军人子女参加中考优待确认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区人武部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 w:bidi="ar"/>
              </w:rPr>
              <w:t>一窗受理平台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即将开通账号、测试流转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中考加分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因公死亡等人民警察和警务辅助人员子女参加中考优待确认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 w:bidi="ar"/>
              </w:rPr>
              <w:t>一窗受理平台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即将开通账号、测试流转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高考加分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少数民族考生高考加分确认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区统战部（民宗）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 w:bidi="ar"/>
              </w:rPr>
              <w:t>一窗受理平台新增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 w:bidi="ar"/>
              </w:rPr>
              <w:t>高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考加分一件事”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 w:bidi="ar"/>
              </w:rPr>
              <w:t>系统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高考加分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归侨学生、归侨子女、华侨子女考生高考加分确认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区统战部（侨务）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 w:bidi="ar"/>
              </w:rPr>
              <w:t>一窗受理平台新增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 w:bidi="ar"/>
              </w:rPr>
              <w:t>高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考加分一件事”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 w:bidi="ar"/>
              </w:rPr>
              <w:t>系统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高考加分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台湾省籍考生高考加分确认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区委办（台办）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 w:bidi="ar"/>
              </w:rPr>
              <w:t>一窗受理平台新增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 w:bidi="ar"/>
              </w:rPr>
              <w:t>高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考加分一件事”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 w:bidi="ar"/>
              </w:rPr>
              <w:t>系统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高考加分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烈士子女参加高考优待确认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区退役军人事务局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 w:bidi="ar"/>
              </w:rPr>
              <w:t>一窗受理平台新增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 w:bidi="ar"/>
              </w:rPr>
              <w:t>高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考加分一件事”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 w:bidi="ar"/>
              </w:rPr>
              <w:t>系统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高考加分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因公死亡等军人子女参加高考优待确认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区人武部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 w:bidi="ar"/>
              </w:rPr>
              <w:t>一窗受理平台新增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 w:bidi="ar"/>
              </w:rPr>
              <w:t>高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考加分一件事”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 w:bidi="ar"/>
              </w:rPr>
              <w:t>系统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高考加分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因公死亡等人民警察和警务辅助人员子女参加高考优待确认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 w:bidi="ar"/>
              </w:rPr>
              <w:t>一窗受理平台新增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 w:bidi="ar"/>
              </w:rPr>
              <w:t>高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考加分一件事”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 w:bidi="ar"/>
              </w:rPr>
              <w:t>系统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就业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个体劳动者就业创业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区人社局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区公积金中心、区医保分局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市级统一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就业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社会保险费补缴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区税务局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区人社局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市级统一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就业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社会保险关系转移、接续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区人社局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区医保分局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市级统一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特殊群体服务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军人退役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区退役军人事务局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区公安分局、区人社局、区人武部、区医保分局、区委组织部、团区委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等待市局布置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特殊群体服务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扶残助残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区残联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区民政局、区人社局、区医保分局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各部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门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协调中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失业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失业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区人社局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区人社局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市级统一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结婚生育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婚育户登记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区民政局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区公安分局、区卫健局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市级统一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置业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二手房办理不动产证及电水气视联动过户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区规划与自然资源局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区住建局、区税务局、区供电公司、区环境集团、中燃集团、新奥燃气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不动产与地税、房管的交易已实现互交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置业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公租房申请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区住建局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区公安分局、区民政局、区法院、区税务局、区教育局、区市监局、区规划与自然资源局、区人社局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纳入一窗受理平台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置业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农民建房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区规划与自然资源局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区住建局、镇街政府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已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与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区信息中心对接，等待省文件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置业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农房确权登记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区规划与自然资源局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区规划与自然资源局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已完成平台建设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置业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车辆上牌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区税务局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已完成（市里统一）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市级统一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置业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养犬许可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区城管局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区农业农村局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方案完善中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就医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转外就医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区医保分局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具有转诊资质的医疗机构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已完成（市里统一）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市级统一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就医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享受规定（特殊慢性）病种待遇备案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区医保分局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医疗机构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区县领先完成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就医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城乡居民医疗保险、大病保险、优抚、医疗救助“3+N”报销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区医保分局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区民政局、区退役军人事务局、区总工会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完成数据对接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退休养老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退休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区人社局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区人社局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已完成（市里统一）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2018年1月市级统一完成，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进一步深化优化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殡葬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身后一件事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区民政局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区公安分局、医疗机构、区医保分局、区人社局、区退役军人事务局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市级统一</w:t>
            </w:r>
          </w:p>
        </w:tc>
      </w:tr>
    </w:tbl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4"/>
        <w:tblW w:w="83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480"/>
        <w:gridCol w:w="1320"/>
        <w:gridCol w:w="1080"/>
        <w:gridCol w:w="1575"/>
        <w:gridCol w:w="1740"/>
        <w:gridCol w:w="125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3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_GBK" w:hAnsi="Times New Roman" w:eastAsia="方正小标宋_GBK" w:cs="Times New Roman"/>
                <w:spacing w:val="0"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_GBK" w:hAnsi="Times New Roman" w:eastAsia="方正小标宋_GBK" w:cs="Times New Roman"/>
                <w:spacing w:val="0"/>
                <w:kern w:val="2"/>
                <w:sz w:val="36"/>
                <w:szCs w:val="36"/>
                <w:lang w:val="en-US" w:eastAsia="zh-CN"/>
              </w:rPr>
              <w:t>萧山区企业全生命周期“一件事”改革进度表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_GBK" w:hAnsi="Times New Roman" w:eastAsia="方正小标宋_GBK" w:cs="Times New Roman"/>
                <w:spacing w:val="0"/>
                <w:kern w:val="2"/>
                <w:sz w:val="36"/>
                <w:szCs w:val="36"/>
                <w:lang w:val="en-US" w:eastAsia="zh-CN"/>
              </w:rPr>
              <w:t>（2019.7.15-2019.7.19）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生命周期阶段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一件事名称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牵头单位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责任单位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当前进度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登记开办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企业开办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区市监局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区税务局、区公安分局、区人社局、人民银行萧山支行、商业银行、刻章企业、税控设备销售企业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已完成（市里统一）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市级统一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项目投资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企业境外投资备案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区商务局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区发改局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已有专人负责咨询联系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市级权限，区级负责提供咨询、联系服务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不动产交易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企业不动产交易登记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区规划与自然资源局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区住建局、区税务局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已完成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水电气和网络报装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用水报装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环境集团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区城管局、区交通局、区消防大队、区公安分局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办事流程优化初步方案已形成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水电气和网络报装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用电报装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区供电公司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区住建局、区规划与自然资源局、区交通局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各单位协调中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水电气和网络报装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用气报装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区住建局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中燃集团、新奥燃气、区交通局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各单位协调中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水电气和网络报装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网络报装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区经信局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区交通局、区住建局、移动、电信、联动等公司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对接系统流程中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员工招聘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员工招聘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区人社局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区公积金中心、区税务局、区医保分局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市级统一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设备研发与购置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首（台）套产品认定及奖励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区经信局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区财政局、银保监萧山办事处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省级审批权限，区级物理窗口统一收件转报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创新研发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企业研发费用税前加计扣除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区科技局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区税务局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省级系统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 w:bidi="ar"/>
              </w:rPr>
              <w:t>已开发完毕，等待投入使用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生产经营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 xml:space="preserve">洗车企业开办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区市监局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区住建局、区环境局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等待市级部署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生产经营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药品经营（单体药店）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区市监局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区住建局、区消防大队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等待市级部署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生产经营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开办民宿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区市监局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区公安分局、区卫健局、区消防大队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等待市级部署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生产经营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开办二手车交易公司（二手车交易市场经营者和二手车经营主体备案 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区市监局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区商务局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等待市级部署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生产经营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木材检疫运输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区农业农村局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区农业农村局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全省统一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获得信贷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获得信贷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人行萧山支行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区规划与自然资源局、银保监萧山办事处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探索农商行试点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清算注销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常态化企业注销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区市监局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区税务局、商业银行、钱江海关萧然办事处、区商务局、区人社局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已完成（市里统一）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市级统一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清算注销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简易注销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区市监局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区税务局、商业银行、钱江海关萧然办事处、区商务局、区人社局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已完成（市里统一）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市级统一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清算注销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企业破产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区法院、区市监局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区税务局、商业银行、钱江海关萧然办事处、区商务局、区人社局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牵头部门已对接</w:t>
            </w:r>
          </w:p>
        </w:tc>
      </w:tr>
    </w:tbl>
    <w:p/>
    <w:p>
      <w:r>
        <w:rPr>
          <w:rFonts w:hint="eastAsia"/>
        </w:rPr>
        <w:t xml:space="preserve">      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A3496"/>
    <w:rsid w:val="01FA3496"/>
    <w:rsid w:val="784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2019-07-25T08:48:00Z</dcterms:created>
  <dc:creator>小耳朵</dc:creator>
  <cp:lastModifiedBy>小耳朵</cp:lastModifiedBy>
  <dcterms:modified xsi:type="dcterms:W3CDTF">2019-07-25T08:53:03Z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