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75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“一件事”改革工作进度周报（第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八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期）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各相关区级单位：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第八周各“一件事”进展情况已统计完毕，</w:t>
      </w:r>
      <w:r>
        <w:rPr>
          <w:rFonts w:hint="eastAsia" w:ascii="仿宋" w:hAnsi="仿宋" w:eastAsia="仿宋" w:cs="仿宋"/>
          <w:sz w:val="32"/>
          <w:szCs w:val="32"/>
        </w:rPr>
        <w:t>现通报如下：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周，截止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日，我区共有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项“一件事”已完成。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目前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，区教育局、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区卫健局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区公安分局、区税务局、区民政局、区人社局、区农业农村局、区住建局、区城管局、</w:t>
      </w:r>
      <w:r>
        <w:rPr>
          <w:rFonts w:hint="eastAsia" w:ascii="仿宋" w:hAnsi="仿宋" w:eastAsia="仿宋" w:cs="仿宋"/>
          <w:sz w:val="32"/>
          <w:szCs w:val="32"/>
        </w:rPr>
        <w:t>区医保分局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、区退役军人事务局、区商务局、区经信局、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环境集团牵头项目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完成率为100%；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区规划与自然资源局牵头的四项，</w:t>
      </w:r>
      <w:r>
        <w:rPr>
          <w:rFonts w:hint="eastAsia" w:ascii="仿宋" w:hAnsi="仿宋" w:eastAsia="仿宋" w:cs="仿宋"/>
          <w:sz w:val="32"/>
          <w:szCs w:val="32"/>
        </w:rPr>
        <w:t>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区市场监管局共牵头8项，完成率为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7.5%；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区残联、区供电公司、区科技局等</w:t>
      </w:r>
      <w:r>
        <w:rPr>
          <w:rFonts w:hint="eastAsia" w:ascii="仿宋" w:hAnsi="仿宋" w:eastAsia="仿宋" w:cs="仿宋"/>
          <w:sz w:val="32"/>
          <w:szCs w:val="32"/>
        </w:rPr>
        <w:t>完成率为0（详见附件1、2）。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民个人全生命周期“一件事”至今未完成的有“扶残助残”和“农民建房”两件事，企业全生命周期“一件事”至今未完成的有“用电报装”、“企业研发费用税前加计扣除”、“获得信贷”和“企业破产”四件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附件：1.</w:t>
      </w:r>
      <w:r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  <w:t>萧山区公民个人全生命周期“一件事”改革进度表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00" w:firstLineChars="5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2.萧山区企业全生命周期“一件事”改革进度表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   </w:t>
      </w:r>
      <w:r>
        <w:rPr>
          <w:rFonts w:hint="eastAsia" w:ascii="仿宋" w:hAnsi="仿宋" w:eastAsia="仿宋" w:cs="仿宋"/>
          <w:color w:val="ED7D31"/>
          <w:kern w:val="0"/>
          <w:sz w:val="32"/>
          <w:szCs w:val="32"/>
          <w:lang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2019年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4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萧山区公民个人全生命周期“一件事”改革进度表（2019.8.12-2019.8.16）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各部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纳入一窗受理平台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区信息中心正在建设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线下联办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线下联办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区县领先完成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线下联办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2018年1月市级统一完成，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进一步深化优化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市级统一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tbl>
      <w:tblPr>
        <w:tblStyle w:val="4"/>
        <w:tblW w:w="83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740"/>
        <w:gridCol w:w="1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_GBK" w:hAnsi="Times New Roman" w:eastAsia="方正小标宋_GBK" w:cs="Times New Roman"/>
                <w:spacing w:val="0"/>
                <w:kern w:val="2"/>
                <w:sz w:val="36"/>
                <w:szCs w:val="36"/>
                <w:lang w:val="en-US" w:eastAsia="zh-CN"/>
              </w:rPr>
              <w:t>（2019.8.12-2019.8.16）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当前进度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区发改局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已有专人负责咨询联系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区城管局、区交通局、区消防大队、区公安分局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区住建局、区规划与自然资源局、区交通局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中燃集团、新奥燃气、区交通局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区交通局、区住建局、移动、电信、联动等公司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一窗受理平台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区公积金中心、区税务局、区医保分局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线下联办已完成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区财政局、银保监萧山办事处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省级专业平台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省级系统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已开发完毕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一窗受理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一窗受理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一窗受理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一窗受理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区级平台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已完成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全省统一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牵头部门已对接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</w:t>
      </w:r>
    </w:p>
    <w:p>
      <w:pPr>
        <w:rPr>
          <w:rFonts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78B4"/>
    <w:rsid w:val="536178B4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2019-08-19T05:42:00Z</dcterms:created>
  <dc:creator>小耳朵</dc:creator>
  <cp:lastModifiedBy>小耳朵</cp:lastModifiedBy>
  <dcterms:modified xsi:type="dcterms:W3CDTF">2019-08-19T05:47:14Z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