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2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“一件事”改革工作进度周报（第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期）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各相关区级单位：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第七周各“一件事”进展情况已统计完毕，</w:t>
      </w:r>
      <w:r>
        <w:rPr>
          <w:rFonts w:hint="eastAsia" w:ascii="仿宋" w:hAnsi="仿宋" w:eastAsia="仿宋" w:cs="仿宋"/>
          <w:sz w:val="32"/>
          <w:szCs w:val="32"/>
        </w:rPr>
        <w:t>现通报如下：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周，截止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日，我区共有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>项“一件事”已完成。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，区教育局、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区卫健局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区公安分局、区税务局、区民政局、区人社局、区农业农村局、区住建局、区城管局、</w:t>
      </w:r>
      <w:r>
        <w:rPr>
          <w:rFonts w:hint="eastAsia" w:ascii="仿宋" w:hAnsi="仿宋" w:eastAsia="仿宋" w:cs="仿宋"/>
          <w:sz w:val="32"/>
          <w:szCs w:val="32"/>
        </w:rPr>
        <w:t>区医保分局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环境集团牵头项目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完成率为100%；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区规划与自然资源局牵头的四项，</w:t>
      </w:r>
      <w:r>
        <w:rPr>
          <w:rFonts w:hint="eastAsia" w:ascii="仿宋" w:hAnsi="仿宋" w:eastAsia="仿宋" w:cs="仿宋"/>
          <w:sz w:val="32"/>
          <w:szCs w:val="32"/>
        </w:rPr>
        <w:t>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区市场监管局共牵头8项，完成率为37.5%；其余部门完成率为0（详见附件1、2）。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事项中，区供电公司牵头的“用电报装”，区市场监管局牵头的“洗车企业开办”、“药品经营（单体药店）”、“开办民宿”、“开办二手车交易公司（二手车交易市场经营者和二手车经营主体备案）”，与第六周相比无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附件：1.</w:t>
      </w:r>
      <w:r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  <w:t>萧山区公民个人全生命周期“一件事”改革进度表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2.萧山区企业全生命周期“一件事”改革进度表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</w:t>
      </w:r>
      <w:r>
        <w:rPr>
          <w:rFonts w:hint="eastAsia" w:ascii="仿宋" w:hAnsi="仿宋" w:eastAsia="仿宋" w:cs="仿宋"/>
          <w:color w:val="ED7D31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2019年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2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萧山区公民个人全生命周期“一件事”改革进度表（2019.8.1-2019.8.9）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等待市局布置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区信息中心正在建设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线下联办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区县领先完成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线下联办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2018年1月市级统一完成，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进一步深化优化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2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（2019.8.1-2019.8.9）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已有专人负责咨询联系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省级系统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已开发完毕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全省统一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牵头部门已对接</w:t>
            </w: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42C81"/>
    <w:rsid w:val="01842C81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2019-08-12T07:46:00Z</dcterms:created>
  <dc:creator>小耳朵</dc:creator>
  <cp:lastModifiedBy>小耳朵</cp:lastModifiedBy>
  <dcterms:modified xsi:type="dcterms:W3CDTF">2019-08-12T07:50:25Z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