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802" w:tblpY="2523"/>
        <w:tblOverlap w:val="never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</w:trPr>
        <w:tc>
          <w:tcPr>
            <w:tcW w:w="8560" w:type="dxa"/>
            <w:tcBorders>
              <w:top w:val="nil"/>
              <w:left w:val="nil"/>
              <w:bottom w:val="single" w:color="FF0000" w:sz="18" w:space="0"/>
              <w:right w:val="nil"/>
            </w:tcBorders>
            <w:noWrap w:val="0"/>
            <w:vAlign w:val="top"/>
          </w:tcPr>
          <w:p>
            <w:pPr>
              <w:spacing w:line="336" w:lineRule="auto"/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spacing w:line="336" w:lineRule="auto"/>
              <w:jc w:val="center"/>
              <w:rPr>
                <w:rFonts w:hint="eastAsia" w:ascii="仿宋_GB2312"/>
                <w:color w:val="FF0000"/>
                <w:sz w:val="18"/>
                <w:szCs w:val="18"/>
              </w:rPr>
            </w:pPr>
            <w:r>
              <w:rPr>
                <w:rFonts w:hint="eastAsia" w:ascii="方正小标宋简体" w:eastAsia="方正小标宋简体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  <w:p>
            <w:pPr>
              <w:spacing w:line="336" w:lineRule="auto"/>
              <w:jc w:val="center"/>
              <w:rPr>
                <w:rFonts w:hint="eastAsia" w:ascii="仿宋_GB2312"/>
                <w:color w:val="FF0000"/>
                <w:sz w:val="18"/>
                <w:szCs w:val="18"/>
              </w:rPr>
            </w:pPr>
          </w:p>
        </w:tc>
      </w:tr>
    </w:tbl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关于报送2019年度杭州市“最多跑一次”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调查样本框的通知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区发改局、区教育局、区公安分局、区人力社保局、区规划和自然资源局、区卫健局、区市场监管局、区医保局、区税务局、区环境集团、国网萧山供电公司、萧山电信公司、萧山移动公司、萧山联通公司、华数集团、新奥燃气、中燃集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市政府领导要求，每两个月报送有关不动产登记、车辆管理、出入境、户籍登记、商事登记、社保、医保、企业投资项目审批、卫健、税务、教育、用水、用电、用气、网络报装等15类事项《2019年度杭州市“最多跑一次”调查样本框》至市跑改办。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一、工作分工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企业投资项目审批类事项“最多跑一次”调查样本框由区发改局负责填报；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不动产登记类事项“最多跑一次”调查样本框由区规划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和自然资源局负责填报；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车辆管理、出入境、户籍登记类事项“最多跑一次”调查样本框由区公安分局负责填报；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商事登记类事项“最多跑一次”调查样本框由区市场监管局负责填报；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社保类事项“最多跑一次”调查样本框由区人力社保局负责填报；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医保类事项“最多跑一次”调查样本框由区医保局负责填报；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卫健类事项“最多跑一次”调查样本框由区卫健委负责填报；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税务类事项“最多跑一次”调查样本框由市税务局负责填报（区税务局无需填报）；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教育类事项“最多跑一次”调查样本框由区教育局负责填报；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用水报装类事项“最多跑一次”调查样本框由区环境集团负责填报；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用气报装类事项“最多跑一次”调查样本框由中燃集团、新奥燃气负责填报；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用电报装类事项“最多跑一次”调查样本框由国网萧山供电公司负责填报；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网络报装类事项“最多跑一次”调查样本框由萧山电信公司、萧山移动公司、萧山联通公司、萧山华数集团负责填报。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二、抽样框基本要求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抽样框要求Excel2007及以上版电子表格填报，一类事项一张表。上报办件范围为所有办结日期在2018年12月至2019年2月（三个月期间）的服务对象信息，不得选择性抽取。抽样框命名规则为：2019年度××区（县、市）××××类事项“最多跑一次”调查样本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三、服务对象的信息要求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提供的服务对象资料内容应包括：国家码、地区码、固话、手机号（固定电话或手机至少有一项）、省份、地市、区县、乡镇、街道、办事事项、事项类型、办理人（单位）。提供资料的格式见下表：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表一：2019年度杭州市“最多跑一次”调查样本框模版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114300" distR="114300">
            <wp:extent cx="5273675" cy="981075"/>
            <wp:effectExtent l="0" t="0" r="3175" b="9525"/>
            <wp:docPr id="1" name="图片 1" descr="c676ab3ee274e13ab55efea6280c9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676ab3ee274e13ab55efea6280c91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四、报送时间要求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各部门、企业请于每月4日下班前（如遇节假日顺延），将服务对象抽样框提交区跑改办。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第一次报送时间为3月4日（周一），办结日期在2018年12月至2019年2月（三个月期间）的服务对象信息。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联系人：徐晔翀   电话：82898184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电子邮箱：xszdpyc@163.com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附件：2019年度杭州市“最多跑一次”调查样本框模板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2019年2月26日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76FE6"/>
    <w:rsid w:val="0C847F12"/>
    <w:rsid w:val="2B930DB8"/>
    <w:rsid w:val="3A676FE6"/>
    <w:rsid w:val="7C72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2"/>
    <w:next w:val="1"/>
    <w:qFormat/>
    <w:uiPriority w:val="0"/>
    <w:pPr>
      <w:jc w:val="center"/>
    </w:pPr>
    <w:rPr>
      <w:rFonts w:eastAsia="方正兰亭超细黑简体" w:asciiTheme="minorAscii" w:hAnsiTheme="minorAscii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2019-02-26T00:38:00Z</dcterms:created>
  <dc:creator>原来都是梦ㄆ</dc:creator>
  <cp:lastModifiedBy>原来都是梦ㄆ</cp:lastModifiedBy>
  <dcterms:modified xsi:type="dcterms:W3CDTF">2019-02-26T01:02:01Z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