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8700" w:type="dxa"/>
            <w:tcBorders>
              <w:top w:val="nil"/>
              <w:left w:val="nil"/>
              <w:bottom w:val="single" w:color="FF0000" w:sz="18" w:space="0"/>
              <w:right w:val="nil"/>
            </w:tcBorders>
            <w:noWrap/>
            <w:vAlign w:val="top"/>
          </w:tcPr>
          <w:p>
            <w:pPr>
              <w:spacing w:line="336" w:lineRule="auto"/>
              <w:rPr>
                <w:rFonts w:hint="eastAsia" w:ascii="仿宋_GB2312"/>
                <w:kern w:val="0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rFonts w:ascii="仿宋_GB2312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萧跑改通〔</w:t>
            </w:r>
            <w:r>
              <w:rPr>
                <w:rFonts w:ascii="仿宋_GB2312" w:eastAsia="仿宋_GB2312"/>
                <w:kern w:val="0"/>
                <w:sz w:val="32"/>
                <w:szCs w:val="32"/>
              </w:rPr>
              <w:t>20</w:t>
            </w: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1</w:t>
            </w:r>
            <w:r>
              <w:rPr>
                <w:rFonts w:hint="eastAsia" w:ascii="仿宋_GB2312"/>
                <w:kern w:val="0"/>
                <w:sz w:val="32"/>
                <w:szCs w:val="32"/>
              </w:rPr>
              <w:t>9</w:t>
            </w: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〕</w:t>
            </w:r>
            <w:r>
              <w:rPr>
                <w:rFonts w:hint="eastAsia" w:ascii="仿宋_GB2312" w:eastAsia="仿宋_GB2312"/>
                <w:kern w:val="0"/>
                <w:sz w:val="32"/>
                <w:szCs w:val="32"/>
                <w:lang w:val="en-US" w:eastAsia="zh-CN"/>
              </w:rPr>
              <w:t>85</w:t>
            </w: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号</w:t>
            </w:r>
          </w:p>
        </w:tc>
      </w:tr>
    </w:tbl>
    <w:tbl>
      <w:tblPr>
        <w:tblStyle w:val="4"/>
        <w:tblpPr w:leftFromText="180" w:rightFromText="180" w:vertAnchor="page" w:horzAnchor="margin" w:tblpY="2552"/>
        <w:tblW w:w="86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8680" w:type="dxa"/>
            <w:noWrap/>
            <w:vAlign w:val="center"/>
          </w:tcPr>
          <w:p>
            <w:pPr>
              <w:spacing w:line="300" w:lineRule="auto"/>
              <w:jc w:val="center"/>
              <w:rPr>
                <w:rFonts w:ascii="方正小标宋简体" w:eastAsia="方正小标宋简体"/>
                <w:color w:val="FF0000"/>
                <w:w w:val="70"/>
                <w:kern w:val="0"/>
                <w:sz w:val="72"/>
                <w:szCs w:val="72"/>
              </w:rPr>
            </w:pPr>
            <w:r>
              <w:rPr>
                <w:rFonts w:hint="eastAsia" w:ascii="方正小标宋简体" w:eastAsia="方正小标宋简体"/>
                <w:color w:val="FF0000"/>
                <w:spacing w:val="-6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微软雅黑" w:eastAsia="方正小标宋_GBK" w:cs="微软雅黑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微软雅黑" w:eastAsia="方正小标宋_GBK" w:cs="微软雅黑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_GBK" w:hAnsi="微软雅黑" w:eastAsia="方正小标宋_GBK" w:cs="微软雅黑"/>
          <w:sz w:val="44"/>
          <w:szCs w:val="44"/>
          <w:lang w:val="en-US" w:eastAsia="zh-CN"/>
        </w:rPr>
        <w:t>“一件事”改革工作进度周报（第九、十期）</w:t>
      </w:r>
      <w:bookmarkEnd w:id="0"/>
    </w:p>
    <w:p>
      <w:pPr>
        <w:spacing w:line="55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5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各相关区级单位：</w:t>
      </w:r>
    </w:p>
    <w:p>
      <w:pPr>
        <w:spacing w:line="550" w:lineRule="exact"/>
        <w:ind w:firstLine="64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“一件事”改革工作第一阶段，在各牵头单位的大力推进和各责任单位的积极配合下，截止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8月30日，我</w:t>
      </w:r>
      <w:r>
        <w:rPr>
          <w:rFonts w:hint="eastAsia" w:ascii="仿宋" w:hAnsi="仿宋" w:eastAsia="仿宋" w:cs="仿宋"/>
          <w:sz w:val="32"/>
          <w:szCs w:val="32"/>
        </w:rPr>
        <w:t>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公民个人和企业“一件事”改革工作已完成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51</w:t>
      </w:r>
      <w:r>
        <w:rPr>
          <w:rFonts w:hint="eastAsia" w:ascii="仿宋" w:hAnsi="仿宋" w:eastAsia="仿宋" w:cs="仿宋"/>
          <w:sz w:val="32"/>
          <w:szCs w:val="32"/>
        </w:rPr>
        <w:t>项。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区教育局、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区卫健局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区规划与自然资源局、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区公安分局、区税务局、区民政局、区人社局、区农业农村局、区住建局、区城管局、</w:t>
      </w:r>
      <w:r>
        <w:rPr>
          <w:rFonts w:hint="eastAsia" w:ascii="仿宋" w:hAnsi="仿宋" w:eastAsia="仿宋" w:cs="仿宋"/>
          <w:sz w:val="32"/>
          <w:szCs w:val="32"/>
        </w:rPr>
        <w:t>区医保分局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、区退役军人事务局、区残联、区商务局、区经信局、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环境集团、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区供电公司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牵头项目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完成率为100%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民个人全生命周期“一件事”改革工作已全部完成，企业全生命周期“一件事”至今未完成的有区科技局牵头的“企业研发费用税前加计扣除”、人行萧山支行牵头的“获得信贷”以及区法院和区市监局牵头的“企业破产”三件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spacing w:line="550" w:lineRule="exact"/>
        <w:ind w:firstLine="64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企业破产“一件事”联办工作会议于8月28日在区跑改办、区法院和区市场监管局共同牵头下召开，最后经各相关单位讨论决定，一致认为企业破产“一件事”需等待省市出台相关文件和实施方案，建议暂缓企业破产“一件事”联办。</w:t>
      </w:r>
    </w:p>
    <w:p>
      <w:pPr>
        <w:spacing w:line="55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区科技局牵头的“企业研发费用税前加计扣除”省级平台已建设完毕，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9月上旬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区科技局将召开联络员会议，部署系统应用工作，企业研发费用税前加计扣除“一件事”也即将完成。</w:t>
      </w:r>
    </w:p>
    <w:p>
      <w:pPr>
        <w:spacing w:line="55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人行萧山支行牵头的“获得信贷”，人行萧山支行已向上级部门反映，目前杭州市暂缓推进获得信贷“一件事”，等待省级统一方案。</w:t>
      </w:r>
    </w:p>
    <w:p>
      <w:pPr>
        <w:spacing w:line="550" w:lineRule="exact"/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下一阶段，请各相关部门对照《浙江省公民个人和企业“一件事”改革评分细则（征求意见稿）》要求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,进一步深化“一件事”改革工作。</w:t>
      </w:r>
    </w:p>
    <w:p>
      <w:pPr>
        <w:spacing w:line="550" w:lineRule="exact"/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</w:p>
    <w:p>
      <w:pPr>
        <w:spacing w:line="550" w:lineRule="exact"/>
        <w:ind w:left="1918" w:leftChars="304" w:hanging="1280" w:hangingChars="400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附件：1.萧山区公民个人全生命周期“一件事”改革进度表</w:t>
      </w:r>
    </w:p>
    <w:p>
      <w:pPr>
        <w:spacing w:line="550" w:lineRule="exact"/>
        <w:ind w:firstLine="1600" w:firstLineChars="500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2.萧山区企业全生命周期“一件事”改革进度表</w:t>
      </w:r>
    </w:p>
    <w:p>
      <w:pPr>
        <w:spacing w:line="550" w:lineRule="exact"/>
        <w:ind w:left="1916" w:leftChars="760" w:hanging="320" w:hangingChars="100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3.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浙江省公民个人和企业“一件事”改革评分细则（征求意见稿）</w:t>
      </w:r>
    </w:p>
    <w:p>
      <w:pPr>
        <w:spacing w:line="550" w:lineRule="exact"/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</w:p>
    <w:p>
      <w:pPr>
        <w:spacing w:line="550" w:lineRule="exact"/>
        <w:ind w:firstLine="0" w:firstLineChars="0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</w:p>
    <w:p>
      <w:pPr>
        <w:spacing w:line="550" w:lineRule="exact"/>
        <w:jc w:val="right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萧山区全面深化“最多跑一次”改革领导小组办公室</w:t>
      </w:r>
    </w:p>
    <w:p>
      <w:pPr>
        <w:spacing w:line="550" w:lineRule="exact"/>
        <w:ind w:firstLine="3200" w:firstLineChars="1000"/>
        <w:jc w:val="both"/>
        <w:rPr>
          <w:rFonts w:hint="eastAsia" w:ascii="仿宋" w:hAnsi="仿宋" w:eastAsia="仿宋" w:cs="仿宋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2019年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9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3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日</w:t>
      </w:r>
    </w:p>
    <w:p>
      <w:pPr>
        <w:spacing w:line="550" w:lineRule="exact"/>
        <w:ind w:firstLine="0" w:firstLineChars="0"/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tbl>
      <w:tblPr>
        <w:tblStyle w:val="4"/>
        <w:tblW w:w="838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2"/>
        <w:gridCol w:w="616"/>
        <w:gridCol w:w="1134"/>
        <w:gridCol w:w="1216"/>
        <w:gridCol w:w="1250"/>
        <w:gridCol w:w="1400"/>
        <w:gridCol w:w="176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838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  <w:r>
              <w:rPr>
                <w:rFonts w:hint="eastAsia" w:ascii="方正小标宋_GBK" w:hAnsi="Times New Roman" w:eastAsia="方正小标宋_GBK" w:cs="Times New Roman"/>
                <w:spacing w:val="0"/>
                <w:kern w:val="2"/>
                <w:sz w:val="36"/>
                <w:szCs w:val="36"/>
                <w:lang w:val="en-US" w:eastAsia="zh-CN"/>
              </w:rPr>
              <w:t>萧山区公民个人全生命周期“一件事”改革进度表（2019.8.19-2019.8.30）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bidi="ar"/>
              </w:rPr>
              <w:t>生命周期阶段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bidi="ar"/>
              </w:rPr>
              <w:t>序号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bidi="ar"/>
              </w:rPr>
              <w:t>一件事名称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bidi="ar"/>
              </w:rPr>
              <w:t>牵头单位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bidi="ar"/>
              </w:rPr>
              <w:t>责任单位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bidi="ar"/>
              </w:rPr>
              <w:t>当前进度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出生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新生儿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区卫健局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区公安分局、区人社局、区医保分局、市民卡公司、各医院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完成（市里统一）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市级统一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收养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收养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区民政局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区民政局、区卫健局、区公安分局、区医保分局、市民卡公司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市级统一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上学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入园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区教育局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区公安分局、区卫健局、区人社局、区规划与自然资源局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一窗受理平台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上学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入学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区教育局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区公安分局、区卫健局、区人社局、区规划与自然资源局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市级统一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中考加分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少数民族考生中考加分确认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区教育局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区统战部（民宗）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一窗受理平台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中考加分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归侨学生、归侨子女、华侨子女考生中考加分确认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区教育局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区统战部（侨办）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一窗受理平台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中考加分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港澳居民子女子女考生中考加分确认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区教育局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区府办（外办）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一窗受理平台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中考加分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台胞子女考生中考加分确认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区教育局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区委办（台办））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一窗受理平台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中考加分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烈士子女参加中考优待确认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区教育局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区退役军人事务局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一窗受理平台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中考加分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因公死亡等军人子女参加中考优待确认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区教育局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区人武部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一窗受理平台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中考加分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因公死亡等人民警察和警务辅助人员子女参加中考优待确认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区教育局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区公安分局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一窗受理平台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高考加分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少数民族考生高考加分确认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区教育局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区统战部（民宗）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一窗受理平台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高考加分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归侨学生、归侨子女、华侨子女考生高考加分确认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区教育局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区统战部（侨务）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一窗受理平台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高考加分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台湾省籍考生高考加分确认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区教育局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区委办（台办）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一窗受理平台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高考加分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烈士子女参加高考优待确认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区教育局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区退役军人事务局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一窗受理平台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高考加分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因公死亡等军人子女参加高考优待确认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区教育局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区人武部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一窗受理平台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高考加分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因公死亡等人民警察和警务辅助人员子女参加高考优待确认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区教育局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区公安分局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一窗受理平台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就业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szCs w:val="22"/>
                <w:lang w:bidi="ar"/>
              </w:rPr>
              <w:t>个体劳动者就业创业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szCs w:val="22"/>
                <w:lang w:bidi="ar"/>
              </w:rPr>
              <w:t>区人社局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szCs w:val="22"/>
                <w:lang w:bidi="ar"/>
              </w:rPr>
              <w:t>区公积金中心、区医保分局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线下联办已完成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5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就业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社会保险费补缴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区税务局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区人社局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线下联办已完成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就业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社会保险关系转移、接续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区人社局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区医保分局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线下联办已完成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特殊群体服务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军人退役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区退役军人事务局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区公安分局、区人社局、区人武部、区医保分局、区委组织部、团区委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sz w:val="22"/>
                <w:szCs w:val="22"/>
                <w:lang w:eastAsia="zh-CN"/>
              </w:rPr>
              <w:t>一窗受理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特殊群体服务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扶残助残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区残联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区民政局、区人社局、区医保分局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sz w:val="22"/>
                <w:szCs w:val="22"/>
                <w:lang w:eastAsia="zh-CN"/>
              </w:rPr>
              <w:t>一窗受理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失业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失业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区人社局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区人社局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市级统一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结婚生育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婚育户登记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区民政局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区公安分局、区卫健局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市级统一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置业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二手房办理不动产证及电水气视联动过户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区规划与自然资源局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区住建局、区税务局、区供电公司、区环境集团、中燃集团、新奥燃气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一窗受理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置业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公租房申请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区住建局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区公安分局、区民政局、区法院、区税务局、区教育局、区市监局、区规划与自然资源局、区人社局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一窗受理平台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置业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农民建房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区规划与自然资源局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区住建局、镇街政府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线上线下联办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置业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农房确权登记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区规划与自然资源局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区规划与自然资源局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线下联办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置业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车辆上牌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区公安分局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区税务局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已完成（市里统一）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市级统一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置业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养犬许可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区城管局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区农业农村局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FF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FF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一窗受理平台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就医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转外就医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区医保分局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具有转诊资质的医疗机构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已完成（市里统一）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市级统一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就医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享受规定（特殊慢性）病种待遇备案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区医保分局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医疗机构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已完成（市里统一）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区县领先完成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就医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城乡居民医疗保险、大病保险、优抚、医疗救助“3+N”报销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区医保分局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区民政局、区退役军人事务局、区总工会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220" w:firstLineChars="100"/>
              <w:jc w:val="both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线上线下联办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退休养老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退休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区人社局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区人社局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市级统一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殡葬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身后一件事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区民政局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区公安分局、医疗机构、区医保分局、区人社局、区退役军人事务局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市级统一</w:t>
            </w:r>
          </w:p>
        </w:tc>
      </w:tr>
    </w:tbl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ab/>
      </w:r>
    </w:p>
    <w:tbl>
      <w:tblPr>
        <w:tblStyle w:val="4"/>
        <w:tblW w:w="837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0"/>
        <w:gridCol w:w="480"/>
        <w:gridCol w:w="1320"/>
        <w:gridCol w:w="1080"/>
        <w:gridCol w:w="1575"/>
        <w:gridCol w:w="1740"/>
        <w:gridCol w:w="125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3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_GBK" w:hAnsi="Times New Roman" w:eastAsia="方正小标宋_GBK" w:cs="Times New Roman"/>
                <w:spacing w:val="0"/>
                <w:kern w:val="2"/>
                <w:sz w:val="36"/>
                <w:szCs w:val="36"/>
                <w:lang w:val="en-US" w:eastAsia="zh-CN"/>
              </w:rPr>
            </w:pPr>
            <w:r>
              <w:rPr>
                <w:rFonts w:hint="eastAsia" w:ascii="方正小标宋_GBK" w:hAnsi="Times New Roman" w:eastAsia="方正小标宋_GBK" w:cs="Times New Roman"/>
                <w:spacing w:val="0"/>
                <w:kern w:val="2"/>
                <w:sz w:val="36"/>
                <w:szCs w:val="36"/>
                <w:lang w:val="en-US" w:eastAsia="zh-CN"/>
              </w:rPr>
              <w:t>萧山区企业全生命周期“一件事”改革进度表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小标宋_GBK" w:hAnsi="Times New Roman" w:eastAsia="方正小标宋_GBK" w:cs="Times New Roman"/>
                <w:spacing w:val="0"/>
                <w:kern w:val="2"/>
                <w:sz w:val="36"/>
                <w:szCs w:val="36"/>
                <w:lang w:val="en-US" w:eastAsia="zh-CN"/>
              </w:rPr>
              <w:t>（2019.8.19-2019.8.30）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bidi="ar"/>
              </w:rPr>
              <w:t>生命周期阶段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bidi="ar"/>
              </w:rPr>
              <w:t>序号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bidi="ar"/>
              </w:rPr>
              <w:t>一件事名称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bidi="ar"/>
              </w:rPr>
              <w:t>牵头单位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bidi="ar"/>
              </w:rPr>
              <w:t>责任单位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bidi="ar"/>
              </w:rPr>
              <w:t>当前进度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登记开办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企业开办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区市监局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区税务局、区公安分局、区人社局、人民银行萧山支行、商业银行、刻章企业、税控设备销售企业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已完成（市里统一）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市级统一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项目投资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企业境外投资备案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区商务局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区发改局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已有专人负责咨询联系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市级权限，区级负责提供咨询、联系服务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不动产交易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企业不动产交易登记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区规划与自然资源局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区住建局、区税务局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已完成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一窗受理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水电气和网络报装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用水报装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环境集团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区城管局、区交通局、区消防大队、区公安分局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一窗受理平台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水电气和网络报装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用电报装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区供电公司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区住建局、区规划与自然资源局、区交通局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一窗受理平台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水电气和网络报装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用气报装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区住建局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中燃集团、新奥燃气、区交通局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一窗受理平台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水电气和网络报装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网络报装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区经信局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区交通局、区住建局、移动、电信、联动等公司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一窗受理平台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员工招聘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员工招聘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区人社局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区公积金中心、区税务局、区医保分局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</w:rPr>
              <w:t>线下联办已完成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设备研发与购置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首（台）套产品认定及奖励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区经信局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区财政局、银保监萧山办事处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省级专业平台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创新研发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企业研发费用税前加计扣除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区科技局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区税务局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推进中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省级系统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，组织联络员培训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生产经营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 xml:space="preserve">洗车企业开办  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区市监局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区住建局、区环境局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一窗受理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生产经营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药品经营（单体药店）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区市监局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区住建局、区消防大队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一窗受理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生产经营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开办民宿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区市监局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区公安分局、区卫健局、区消防大队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一窗受理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生产经营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开办二手车交易公司（二手车交易市场经营者和二手车经营主体备案 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区市监局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区商务局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一窗受理</w:t>
            </w:r>
          </w:p>
          <w:p>
            <w:pPr>
              <w:jc w:val="both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生产经营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木材检疫运输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区农业农村局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区农业农村局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 w:bidi="ar"/>
              </w:rPr>
              <w:t>已完成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市级统一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获得信贷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获得信贷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人行萧山支行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区规划与自然资源局、银保监萧山办事处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等待省级方案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清算注销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常态化企业注销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区市监局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区税务局、商业银行、钱江海关萧然办事处、区商务局、区人社局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已完成（市里统一）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市级统一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清算注销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简易注销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区市监局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区税务局、商业银行、钱江海关萧然办事处、区商务局、区人社局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已完成（市里统一）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市级统一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清算注销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企业破产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区法院、区市监局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区税务局、商业银行、钱江海关萧然办事处、区商务局、区人社局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  <w:t>等待省级方案</w:t>
            </w:r>
          </w:p>
        </w:tc>
      </w:tr>
    </w:tbl>
    <w:p>
      <w:pPr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 xml:space="preserve">      </w:t>
      </w:r>
    </w:p>
    <w:p>
      <w:pPr>
        <w:rPr>
          <w:rFonts w:ascii="Calibri" w:hAnsi="Calibri" w:eastAsia="宋体" w:cs="Times New Roma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736F7"/>
    <w:rsid w:val="239736F7"/>
    <w:rsid w:val="784F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2019-09-03T08:11:00Z</dcterms:created>
  <dc:creator>小耳朵</dc:creator>
  <cp:lastModifiedBy>小耳朵</cp:lastModifiedBy>
  <dcterms:modified xsi:type="dcterms:W3CDTF">2019-09-03T08:14:45Z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