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700" w:type="dxa"/>
            <w:tcBorders>
              <w:top w:val="nil"/>
              <w:left w:val="nil"/>
              <w:bottom w:val="single" w:color="FF0000" w:sz="18" w:space="0"/>
              <w:right w:val="nil"/>
            </w:tcBorders>
            <w:noWrap/>
            <w:vAlign w:val="top"/>
          </w:tcPr>
          <w:p>
            <w:pPr>
              <w:spacing w:line="336" w:lineRule="auto"/>
              <w:rPr>
                <w:rFonts w:hint="eastAsia" w:ascii="仿宋_GB2312"/>
                <w:kern w:val="0"/>
                <w:sz w:val="32"/>
                <w:szCs w:val="32"/>
              </w:rPr>
            </w:pPr>
          </w:p>
          <w:p>
            <w:pPr>
              <w:spacing w:line="336" w:lineRule="auto"/>
              <w:jc w:val="center"/>
              <w:rPr>
                <w:rFonts w:ascii="仿宋_GB2312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萧跑改通〔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20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/>
                <w:kern w:val="0"/>
                <w:sz w:val="32"/>
                <w:szCs w:val="32"/>
              </w:rPr>
              <w:t>9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〕</w:t>
            </w:r>
            <w:r>
              <w:rPr>
                <w:rFonts w:hint="eastAsia" w:ascii="仿宋_GB2312"/>
                <w:kern w:val="0"/>
                <w:sz w:val="32"/>
                <w:szCs w:val="32"/>
              </w:rPr>
              <w:t>6</w:t>
            </w:r>
            <w:r>
              <w:rPr>
                <w:rFonts w:hint="eastAsia" w:ascii="仿宋_GB2312"/>
                <w:kern w:val="0"/>
                <w:sz w:val="32"/>
                <w:szCs w:val="3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号</w:t>
            </w:r>
          </w:p>
        </w:tc>
      </w:tr>
    </w:tbl>
    <w:tbl>
      <w:tblPr>
        <w:tblStyle w:val="4"/>
        <w:tblpPr w:leftFromText="180" w:rightFromText="180" w:vertAnchor="page" w:horzAnchor="margin" w:tblpY="2552"/>
        <w:tblW w:w="86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8680" w:type="dxa"/>
            <w:noWrap/>
            <w:vAlign w:val="center"/>
          </w:tcPr>
          <w:p>
            <w:pPr>
              <w:spacing w:line="300" w:lineRule="auto"/>
              <w:jc w:val="center"/>
              <w:rPr>
                <w:rFonts w:ascii="方正小标宋简体" w:eastAsia="方正小标宋简体"/>
                <w:color w:val="FF0000"/>
                <w:w w:val="70"/>
                <w:kern w:val="0"/>
                <w:sz w:val="72"/>
                <w:szCs w:val="72"/>
              </w:rPr>
            </w:pPr>
            <w:r>
              <w:rPr>
                <w:rFonts w:hint="eastAsia" w:ascii="方正小标宋简体" w:eastAsia="方正小标宋简体"/>
                <w:color w:val="FF0000"/>
                <w:spacing w:val="-6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_GBK" w:hAnsi="微软雅黑" w:eastAsia="方正小标宋_GBK" w:cs="微软雅黑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微软雅黑" w:eastAsia="方正小标宋_GBK" w:cs="微软雅黑"/>
          <w:sz w:val="44"/>
          <w:szCs w:val="44"/>
          <w:lang w:val="en-US" w:eastAsia="zh-CN"/>
        </w:rPr>
      </w:pPr>
      <w:r>
        <w:rPr>
          <w:rFonts w:hint="eastAsia" w:ascii="方正小标宋_GBK" w:hAnsi="微软雅黑" w:eastAsia="方正小标宋_GBK" w:cs="微软雅黑"/>
          <w:sz w:val="44"/>
          <w:szCs w:val="44"/>
          <w:lang w:val="en-US" w:eastAsia="zh-CN"/>
        </w:rPr>
        <w:t>关于报送“就近办”工作进展的通知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各镇街：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关于全面推进民生事项“就近办”工作的通知》（萧跑改办〔2019〕3号）文件要求和民生实事“就近办”工程工作部署，为及时了解“就近办”工作成果，现要求各镇街反馈当前“就近办”工作进展及遇到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请各镇街于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8月2日中午下班前，将报送表格反馈至区跑改办。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工作联系人：徐晔翀，82898184。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报送邮箱：xszdpyc@163.com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附件：1.镇街“就近办”工作进展反馈表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2.镇街大厅受理部门下沉事项清单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萧山区全面深化“最多跑一次”改革领导小组办公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0" w:firstLineChars="10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2019年7月31日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A5DA9"/>
    <w:rsid w:val="10C13BAD"/>
    <w:rsid w:val="294810A5"/>
    <w:rsid w:val="390F20FE"/>
    <w:rsid w:val="481D27E6"/>
    <w:rsid w:val="5AC85DC3"/>
    <w:rsid w:val="5F8C647F"/>
    <w:rsid w:val="64A369C7"/>
    <w:rsid w:val="7E483096"/>
    <w:rsid w:val="7F3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小耳朵</cp:lastModifiedBy>
  <dcterms:modified xsi:type="dcterms:W3CDTF">2019-08-06T03:26:18Z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