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8700" w:type="dxa"/>
            <w:tcBorders>
              <w:top w:val="nil"/>
              <w:left w:val="nil"/>
              <w:bottom w:val="single" w:color="FF0000" w:sz="18" w:space="0"/>
              <w:right w:val="nil"/>
            </w:tcBorders>
            <w:noWrap/>
            <w:vAlign w:val="top"/>
          </w:tcPr>
          <w:p>
            <w:pPr>
              <w:spacing w:line="336" w:lineRule="auto"/>
              <w:rPr>
                <w:rFonts w:hint="eastAsia" w:ascii="仿宋_GB2312"/>
                <w:kern w:val="0"/>
                <w:sz w:val="32"/>
                <w:szCs w:val="32"/>
              </w:rPr>
            </w:pPr>
          </w:p>
          <w:p>
            <w:pPr>
              <w:spacing w:line="336" w:lineRule="auto"/>
              <w:jc w:val="center"/>
              <w:rPr>
                <w:rFonts w:ascii="仿宋_GB2312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萧跑改通〔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20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/>
                <w:kern w:val="0"/>
                <w:sz w:val="32"/>
                <w:szCs w:val="32"/>
              </w:rPr>
              <w:t>9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〕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  <w:lang w:val="en-US" w:eastAsia="zh-CN"/>
              </w:rPr>
              <w:t>64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号</w:t>
            </w:r>
          </w:p>
        </w:tc>
      </w:tr>
    </w:tbl>
    <w:tbl>
      <w:tblPr>
        <w:tblStyle w:val="4"/>
        <w:tblpPr w:leftFromText="180" w:rightFromText="180" w:vertAnchor="page" w:horzAnchor="margin" w:tblpY="2552"/>
        <w:tblW w:w="86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8680" w:type="dxa"/>
            <w:noWrap/>
            <w:vAlign w:val="center"/>
          </w:tcPr>
          <w:p>
            <w:pPr>
              <w:spacing w:line="300" w:lineRule="auto"/>
              <w:jc w:val="center"/>
              <w:rPr>
                <w:rFonts w:ascii="方正小标宋简体" w:eastAsia="方正小标宋简体"/>
                <w:color w:val="FF0000"/>
                <w:w w:val="70"/>
                <w:kern w:val="0"/>
                <w:sz w:val="72"/>
                <w:szCs w:val="72"/>
              </w:rPr>
            </w:pPr>
            <w:r>
              <w:rPr>
                <w:rFonts w:hint="eastAsia" w:ascii="方正小标宋简体" w:eastAsia="方正小标宋简体"/>
                <w:color w:val="FF0000"/>
                <w:spacing w:val="-6"/>
                <w:w w:val="44"/>
                <w:kern w:val="0"/>
                <w:sz w:val="72"/>
                <w:szCs w:val="72"/>
                <w:fitText w:val="8893" w:id="0"/>
              </w:rPr>
              <w:t>杭州市萧山区全面深化“最多跑一次”改革领导小组办公室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小标宋_GBK" w:hAnsi="微软雅黑" w:eastAsia="方正小标宋_GBK" w:cs="微软雅黑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</w:pPr>
      <w:r>
        <w:rPr>
          <w:rFonts w:hint="eastAsia" w:ascii="方正小标宋_GBK" w:hAnsi="微软雅黑" w:eastAsia="方正小标宋_GBK" w:cs="微软雅黑"/>
          <w:sz w:val="44"/>
          <w:szCs w:val="44"/>
          <w:lang w:val="en-US" w:eastAsia="zh-CN"/>
        </w:rPr>
        <w:t>关于报送下沉事项办件量的通知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区人社局、区医保分局、区民政局、区档案馆、区气象局、区市民卡公司、区公交公司：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《关于全面推进民生事项“就近办”工作的通知》（萧跑改办〔2019〕3号）文件要求和民生实事“就近办”工程工作部署，为及时了解“就近办”工作成果，现要求民生事项各涉及单位上报已落地镇街月办件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请各部门于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8月6日前，将报送表格反馈至区跑改办。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工作联系人：徐晔翀，82898184。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报送邮箱：xszdpyc@163.com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附件：部门“就近办”工作月报表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萧山区全面深化“最多跑一次”改革领导小组办公室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2019年7月31日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591192"/>
    <w:rsid w:val="2263370E"/>
    <w:rsid w:val="294810A5"/>
    <w:rsid w:val="31162000"/>
    <w:rsid w:val="481D27E6"/>
    <w:rsid w:val="49FC7391"/>
    <w:rsid w:val="64A369C7"/>
    <w:rsid w:val="64B442D5"/>
    <w:rsid w:val="7F3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269</Words>
  <Characters>301</Characters>
  <Lines>0</Lines>
  <Paragraphs>0</Paragraphs>
  <TotalTime>2</TotalTime>
  <ScaleCrop>false</ScaleCrop>
  <LinksUpToDate>false</LinksUpToDate>
  <CharactersWithSpaces>301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小耳朵</cp:lastModifiedBy>
  <dcterms:modified xsi:type="dcterms:W3CDTF">2019-08-06T03:26:00Z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