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3" w:hRule="atLeast"/>
        </w:trPr>
        <w:tc>
          <w:tcPr>
            <w:tcW w:w="8700" w:type="dxa"/>
            <w:tcBorders>
              <w:top w:val="nil"/>
              <w:left w:val="nil"/>
              <w:bottom w:val="single" w:color="FF0000" w:sz="18" w:space="0"/>
              <w:right w:val="nil"/>
            </w:tcBorders>
            <w:noWrap/>
            <w:vAlign w:val="top"/>
          </w:tcPr>
          <w:p>
            <w:pPr>
              <w:spacing w:line="336" w:lineRule="auto"/>
              <w:rPr>
                <w:rFonts w:hint="eastAsia" w:ascii="仿宋_GB2312"/>
                <w:kern w:val="0"/>
                <w:sz w:val="32"/>
                <w:szCs w:val="32"/>
              </w:rPr>
            </w:pPr>
          </w:p>
          <w:p>
            <w:pPr>
              <w:spacing w:line="336" w:lineRule="auto"/>
              <w:jc w:val="center"/>
              <w:rPr>
                <w:rFonts w:ascii="仿宋_GB2312"/>
                <w:color w:val="FF0000"/>
                <w:kern w:val="0"/>
                <w:sz w:val="18"/>
                <w:szCs w:val="18"/>
              </w:rPr>
            </w:pPr>
            <w:r>
              <w:rPr>
                <w:rFonts w:hint="eastAsia" w:ascii="仿宋_GB2312" w:eastAsia="仿宋_GB2312"/>
                <w:kern w:val="0"/>
                <w:sz w:val="32"/>
                <w:szCs w:val="32"/>
              </w:rPr>
              <w:t>萧跑改通〔</w:t>
            </w:r>
            <w:r>
              <w:rPr>
                <w:rFonts w:ascii="仿宋_GB2312" w:eastAsia="仿宋_GB2312"/>
                <w:kern w:val="0"/>
                <w:sz w:val="32"/>
                <w:szCs w:val="32"/>
              </w:rPr>
              <w:t>20</w:t>
            </w:r>
            <w:r>
              <w:rPr>
                <w:rFonts w:hint="eastAsia" w:ascii="仿宋_GB2312" w:eastAsia="仿宋_GB2312"/>
                <w:kern w:val="0"/>
                <w:sz w:val="32"/>
                <w:szCs w:val="32"/>
              </w:rPr>
              <w:t>1</w:t>
            </w:r>
            <w:r>
              <w:rPr>
                <w:rFonts w:hint="eastAsia" w:ascii="仿宋_GB2312"/>
                <w:kern w:val="0"/>
                <w:sz w:val="32"/>
                <w:szCs w:val="32"/>
              </w:rPr>
              <w:t>9</w:t>
            </w:r>
            <w:r>
              <w:rPr>
                <w:rFonts w:hint="eastAsia" w:ascii="仿宋_GB2312" w:eastAsia="仿宋_GB2312"/>
                <w:kern w:val="0"/>
                <w:sz w:val="32"/>
                <w:szCs w:val="32"/>
              </w:rPr>
              <w:t>〕</w:t>
            </w:r>
            <w:r>
              <w:rPr>
                <w:rFonts w:hint="eastAsia" w:ascii="仿宋_GB2312"/>
                <w:kern w:val="0"/>
                <w:sz w:val="32"/>
                <w:szCs w:val="32"/>
              </w:rPr>
              <w:t>6</w:t>
            </w:r>
            <w:r>
              <w:rPr>
                <w:rFonts w:hint="eastAsia" w:ascii="仿宋_GB2312"/>
                <w:kern w:val="0"/>
                <w:sz w:val="32"/>
                <w:szCs w:val="32"/>
                <w:lang w:val="en-US" w:eastAsia="zh-CN"/>
              </w:rPr>
              <w:t>3</w:t>
            </w:r>
            <w:bookmarkStart w:id="0" w:name="_GoBack"/>
            <w:bookmarkEnd w:id="0"/>
            <w:r>
              <w:rPr>
                <w:rFonts w:hint="eastAsia" w:ascii="仿宋_GB2312" w:eastAsia="仿宋_GB2312"/>
                <w:kern w:val="0"/>
                <w:sz w:val="32"/>
                <w:szCs w:val="32"/>
              </w:rPr>
              <w:t>号</w:t>
            </w:r>
          </w:p>
        </w:tc>
      </w:tr>
    </w:tbl>
    <w:tbl>
      <w:tblPr>
        <w:tblStyle w:val="4"/>
        <w:tblpPr w:leftFromText="180" w:rightFromText="180" w:vertAnchor="page" w:horzAnchor="margin" w:tblpY="2552"/>
        <w:tblW w:w="8680" w:type="dxa"/>
        <w:tblInd w:w="0" w:type="dxa"/>
        <w:tblLayout w:type="fixed"/>
        <w:tblCellMar>
          <w:top w:w="0" w:type="dxa"/>
          <w:left w:w="108" w:type="dxa"/>
          <w:bottom w:w="0" w:type="dxa"/>
          <w:right w:w="108" w:type="dxa"/>
        </w:tblCellMar>
      </w:tblPr>
      <w:tblGrid>
        <w:gridCol w:w="8680"/>
      </w:tblGrid>
      <w:tr>
        <w:tblPrEx>
          <w:tblLayout w:type="fixed"/>
          <w:tblCellMar>
            <w:top w:w="0" w:type="dxa"/>
            <w:left w:w="108" w:type="dxa"/>
            <w:bottom w:w="0" w:type="dxa"/>
            <w:right w:w="108" w:type="dxa"/>
          </w:tblCellMar>
        </w:tblPrEx>
        <w:trPr>
          <w:trHeight w:val="1387" w:hRule="atLeast"/>
        </w:trPr>
        <w:tc>
          <w:tcPr>
            <w:tcW w:w="8680" w:type="dxa"/>
            <w:noWrap/>
            <w:vAlign w:val="center"/>
          </w:tcPr>
          <w:p>
            <w:pPr>
              <w:spacing w:line="300" w:lineRule="auto"/>
              <w:jc w:val="center"/>
              <w:rPr>
                <w:rFonts w:ascii="方正小标宋简体" w:eastAsia="方正小标宋简体"/>
                <w:color w:val="FF0000"/>
                <w:w w:val="70"/>
                <w:kern w:val="0"/>
                <w:sz w:val="72"/>
                <w:szCs w:val="72"/>
              </w:rPr>
            </w:pPr>
            <w:r>
              <w:rPr>
                <w:rFonts w:hint="eastAsia" w:ascii="方正小标宋简体" w:eastAsia="方正小标宋简体"/>
                <w:color w:val="FF0000"/>
                <w:spacing w:val="-6"/>
                <w:w w:val="44"/>
                <w:kern w:val="0"/>
                <w:sz w:val="72"/>
                <w:szCs w:val="72"/>
                <w:fitText w:val="8893" w:id="0"/>
              </w:rPr>
              <w:t>杭州市萧山区全面深化“最多跑一次”改革领导小组办公室</w:t>
            </w:r>
          </w:p>
        </w:tc>
      </w:tr>
    </w:tbl>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_GBK" w:hAnsi="微软雅黑" w:eastAsia="方正小标宋_GBK" w:cs="微软雅黑"/>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_GBK" w:hAnsi="微软雅黑" w:eastAsia="方正小标宋_GBK" w:cs="微软雅黑"/>
          <w:sz w:val="44"/>
          <w:szCs w:val="44"/>
          <w:lang w:val="en-US" w:eastAsia="zh-CN"/>
        </w:rPr>
      </w:pPr>
      <w:r>
        <w:rPr>
          <w:rFonts w:hint="eastAsia" w:ascii="方正小标宋_GBK" w:hAnsi="微软雅黑" w:eastAsia="方正小标宋_GBK" w:cs="微软雅黑"/>
          <w:sz w:val="44"/>
          <w:szCs w:val="44"/>
          <w:lang w:val="en-US" w:eastAsia="zh-CN"/>
        </w:rPr>
        <w:t>关于做好浙江政务服务网办事事项</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_GBK" w:hAnsi="微软雅黑" w:eastAsia="方正小标宋_GBK" w:cs="微软雅黑"/>
          <w:sz w:val="44"/>
          <w:szCs w:val="44"/>
          <w:lang w:val="en-US" w:eastAsia="zh-CN"/>
        </w:rPr>
      </w:pPr>
      <w:r>
        <w:rPr>
          <w:rFonts w:hint="eastAsia" w:ascii="方正小标宋_GBK" w:hAnsi="微软雅黑" w:eastAsia="方正小标宋_GBK" w:cs="微软雅黑"/>
          <w:sz w:val="44"/>
          <w:szCs w:val="44"/>
          <w:lang w:val="en-US" w:eastAsia="zh-CN"/>
        </w:rPr>
        <w:t>梳理工作的通知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color w:val="auto"/>
          <w:sz w:val="32"/>
          <w:szCs w:val="32"/>
        </w:rPr>
      </w:pPr>
      <w:r>
        <w:rPr>
          <w:rFonts w:hint="eastAsia" w:ascii="仿宋" w:hAnsi="仿宋" w:eastAsia="仿宋" w:cs="仿宋"/>
          <w:sz w:val="32"/>
          <w:szCs w:val="32"/>
          <w:lang w:bidi="ar"/>
        </w:rPr>
        <w:t>区级各有</w:t>
      </w:r>
      <w:r>
        <w:rPr>
          <w:rFonts w:hint="eastAsia" w:ascii="仿宋" w:hAnsi="仿宋" w:eastAsia="仿宋" w:cs="仿宋"/>
          <w:color w:val="auto"/>
          <w:sz w:val="32"/>
          <w:szCs w:val="32"/>
          <w:lang w:bidi="ar"/>
        </w:rPr>
        <w:t>关单位：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根据省跑改办、省编办、省大数据局联合印发的《关于加快推进浙江政务服务网办事事项梳理工作的通知》</w:t>
      </w:r>
      <w:r>
        <w:rPr>
          <w:rFonts w:hint="eastAsia" w:ascii="仿宋" w:hAnsi="仿宋" w:eastAsia="仿宋" w:cs="仿宋"/>
          <w:color w:val="auto"/>
          <w:sz w:val="32"/>
          <w:szCs w:val="32"/>
          <w:lang w:val="en-US" w:eastAsia="zh-CN"/>
        </w:rPr>
        <w:t>和市跑改办7月29日下发的《关于做好浙江政务服务网办事事项梳理工作的通知》</w:t>
      </w:r>
      <w:r>
        <w:rPr>
          <w:rFonts w:hint="eastAsia" w:ascii="仿宋" w:hAnsi="仿宋" w:eastAsia="仿宋" w:cs="仿宋"/>
          <w:color w:val="auto"/>
          <w:sz w:val="32"/>
          <w:szCs w:val="32"/>
        </w:rPr>
        <w:t>要求，区级各部门要在8月20日前完成事项入库和办事指南更新完善工作。现就有关事项通知如下：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olor w:val="auto"/>
          <w:sz w:val="32"/>
          <w:szCs w:val="32"/>
        </w:rPr>
      </w:pPr>
      <w:r>
        <w:rPr>
          <w:rFonts w:ascii="黑体" w:hAnsi="黑体" w:eastAsia="黑体"/>
          <w:color w:val="auto"/>
          <w:sz w:val="32"/>
          <w:szCs w:val="32"/>
        </w:rPr>
        <w:t>一</w:t>
      </w:r>
      <w:r>
        <w:rPr>
          <w:rFonts w:hint="eastAsia" w:ascii="黑体" w:hAnsi="黑体" w:eastAsia="黑体"/>
          <w:color w:val="auto"/>
          <w:sz w:val="32"/>
          <w:szCs w:val="32"/>
        </w:rPr>
        <w:t>、事项认领入库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（一）各部门使用qlsx账号，将</w:t>
      </w:r>
      <w:r>
        <w:rPr>
          <w:rFonts w:hint="eastAsia" w:ascii="仿宋" w:hAnsi="仿宋" w:eastAsia="仿宋" w:cs="仿宋"/>
          <w:color w:val="auto"/>
          <w:sz w:val="32"/>
          <w:szCs w:val="32"/>
          <w:lang w:bidi="ar"/>
        </w:rPr>
        <w:t>未入库事项的新增</w:t>
      </w:r>
      <w:r>
        <w:rPr>
          <w:rFonts w:hint="eastAsia" w:ascii="仿宋" w:hAnsi="仿宋" w:eastAsia="仿宋" w:cs="仿宋"/>
          <w:color w:val="auto"/>
          <w:sz w:val="32"/>
          <w:szCs w:val="32"/>
        </w:rPr>
        <w:t>入库并补充办事指南信息，并上报备案。操作过程详见《浙江政务服务网事项库操作手册（部门事项维护）》（登录</w:t>
      </w:r>
      <w:r>
        <w:rPr>
          <w:rFonts w:hint="eastAsia" w:ascii="仿宋" w:hAnsi="仿宋" w:eastAsia="仿宋" w:cs="仿宋"/>
          <w:color w:val="auto"/>
          <w:sz w:val="32"/>
          <w:szCs w:val="32"/>
          <w:lang w:bidi="ar"/>
        </w:rPr>
        <w:t>http://gmuser.zjzwfw.gov.cn下载</w:t>
      </w:r>
      <w:r>
        <w:rPr>
          <w:rFonts w:hint="eastAsia" w:ascii="仿宋" w:hAnsi="仿宋" w:eastAsia="仿宋" w:cs="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bidi="ar"/>
        </w:rPr>
      </w:pPr>
      <w:r>
        <w:rPr>
          <w:rFonts w:hint="eastAsia" w:ascii="仿宋" w:hAnsi="仿宋" w:eastAsia="仿宋" w:cs="仿宋"/>
          <w:color w:val="auto"/>
          <w:sz w:val="32"/>
          <w:szCs w:val="32"/>
        </w:rPr>
        <w:t>（二）此次认领的办事事项范围包括</w:t>
      </w:r>
      <w:r>
        <w:rPr>
          <w:rFonts w:hint="eastAsia" w:ascii="仿宋" w:hAnsi="仿宋" w:eastAsia="仿宋" w:cs="仿宋"/>
          <w:color w:val="auto"/>
          <w:sz w:val="32"/>
          <w:szCs w:val="32"/>
          <w:lang w:bidi="ar"/>
        </w:rPr>
        <w:t>行政许可、行政给付、行政奖励、行政确认、行政裁决、其他行政权力、审核转报、联办事项、公共服务事项。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bidi="ar"/>
        </w:rPr>
      </w:pPr>
      <w:r>
        <w:rPr>
          <w:rFonts w:hint="eastAsia" w:ascii="仿宋" w:hAnsi="仿宋" w:eastAsia="仿宋" w:cs="仿宋"/>
          <w:color w:val="auto"/>
          <w:sz w:val="32"/>
          <w:szCs w:val="32"/>
        </w:rPr>
        <w:t>（三）8月1</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日前，要求各部门根据区委编办下发《未认领事项清单》，对</w:t>
      </w:r>
      <w:r>
        <w:rPr>
          <w:rFonts w:hint="eastAsia" w:ascii="仿宋" w:hAnsi="仿宋" w:eastAsia="仿宋" w:cs="仿宋"/>
          <w:color w:val="auto"/>
          <w:sz w:val="32"/>
          <w:szCs w:val="32"/>
          <w:lang w:bidi="ar"/>
        </w:rPr>
        <w:t>我区确实不行使的事项填写理由后，将excel表交由区委编办审核。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color w:val="auto"/>
          <w:sz w:val="32"/>
          <w:szCs w:val="32"/>
        </w:rPr>
      </w:pPr>
      <w:r>
        <w:rPr>
          <w:rFonts w:hint="eastAsia" w:ascii="仿宋" w:hAnsi="仿宋" w:eastAsia="仿宋" w:cs="仿宋"/>
          <w:color w:val="auto"/>
          <w:sz w:val="32"/>
          <w:szCs w:val="32"/>
          <w:lang w:bidi="ar"/>
        </w:rPr>
        <w:t>区</w:t>
      </w:r>
      <w:r>
        <w:rPr>
          <w:rFonts w:hint="eastAsia" w:ascii="仿宋" w:hAnsi="仿宋" w:eastAsia="仿宋" w:cs="仿宋"/>
          <w:color w:val="auto"/>
          <w:sz w:val="32"/>
          <w:szCs w:val="32"/>
          <w:lang w:eastAsia="zh-CN" w:bidi="ar"/>
        </w:rPr>
        <w:t>政</w:t>
      </w:r>
      <w:r>
        <w:rPr>
          <w:rFonts w:hint="eastAsia" w:ascii="仿宋" w:hAnsi="仿宋" w:eastAsia="仿宋" w:cs="仿宋"/>
          <w:color w:val="auto"/>
          <w:sz w:val="32"/>
          <w:szCs w:val="32"/>
          <w:lang w:bidi="ar"/>
        </w:rPr>
        <w:t>府办（区数据局）配合做好清单批量导入导出工作</w:t>
      </w:r>
      <w:r>
        <w:rPr>
          <w:rFonts w:hint="eastAsia" w:ascii="仿宋" w:hAnsi="仿宋" w:eastAsia="仿宋" w:cs="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二、办事指南更新完善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bidi="ar"/>
        </w:rPr>
      </w:pPr>
      <w:r>
        <w:rPr>
          <w:rFonts w:hint="eastAsia" w:ascii="仿宋" w:hAnsi="仿宋" w:eastAsia="仿宋" w:cs="仿宋"/>
          <w:color w:val="auto"/>
          <w:sz w:val="32"/>
          <w:szCs w:val="32"/>
        </w:rPr>
        <w:t>（一）各部门使用qlsx账号，严格按照《浙江政务服务网事项库部分字段要素填写说明》的要求，对所有办事事项</w:t>
      </w:r>
      <w:r>
        <w:rPr>
          <w:rFonts w:hint="eastAsia" w:ascii="仿宋" w:hAnsi="仿宋" w:eastAsia="仿宋" w:cs="仿宋"/>
          <w:color w:val="auto"/>
          <w:sz w:val="32"/>
          <w:szCs w:val="32"/>
          <w:lang w:bidi="ar"/>
        </w:rPr>
        <w:t>办事指南信息检查、调整</w:t>
      </w:r>
      <w:r>
        <w:rPr>
          <w:rFonts w:hint="eastAsia" w:ascii="仿宋" w:hAnsi="仿宋" w:eastAsia="仿宋" w:cs="仿宋"/>
          <w:color w:val="auto"/>
          <w:sz w:val="32"/>
          <w:szCs w:val="32"/>
          <w:lang w:val="en-US" w:eastAsia="zh-CN" w:bidi="ar"/>
        </w:rPr>
        <w:t>,请务必在8月20日前完成</w:t>
      </w:r>
      <w:r>
        <w:rPr>
          <w:rFonts w:hint="eastAsia" w:ascii="仿宋" w:hAnsi="仿宋" w:eastAsia="仿宋" w:cs="仿宋"/>
          <w:color w:val="auto"/>
          <w:sz w:val="32"/>
          <w:szCs w:val="32"/>
          <w:lang w:bidi="ar"/>
        </w:rPr>
        <w:t>。（填写说明请登录http://gmuser.zjzwfw.gov.cn下载）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（二）各部门可</w:t>
      </w:r>
      <w:r>
        <w:rPr>
          <w:rFonts w:hint="eastAsia" w:ascii="仿宋" w:hAnsi="仿宋" w:eastAsia="仿宋" w:cs="仿宋"/>
          <w:bCs/>
          <w:color w:val="auto"/>
          <w:sz w:val="32"/>
          <w:szCs w:val="32"/>
          <w:lang w:bidi="ar"/>
        </w:rPr>
        <w:t>通过【</w:t>
      </w:r>
      <w:r>
        <w:rPr>
          <w:rFonts w:hint="eastAsia" w:ascii="仿宋" w:hAnsi="仿宋" w:eastAsia="仿宋" w:cs="仿宋"/>
          <w:color w:val="auto"/>
          <w:kern w:val="0"/>
          <w:sz w:val="32"/>
          <w:szCs w:val="32"/>
          <w:lang w:bidi="ar"/>
        </w:rPr>
        <w:t>事项信息质量检查</w:t>
      </w:r>
      <w:r>
        <w:rPr>
          <w:rFonts w:hint="eastAsia" w:ascii="仿宋" w:hAnsi="仿宋" w:eastAsia="仿宋" w:cs="仿宋"/>
          <w:bCs/>
          <w:color w:val="auto"/>
          <w:sz w:val="32"/>
          <w:szCs w:val="32"/>
          <w:lang w:bidi="ar"/>
        </w:rPr>
        <w:t>】</w:t>
      </w:r>
      <w:r>
        <w:rPr>
          <w:rFonts w:hint="eastAsia" w:ascii="仿宋" w:hAnsi="仿宋" w:eastAsia="仿宋" w:cs="仿宋"/>
          <w:color w:val="auto"/>
          <w:kern w:val="0"/>
          <w:sz w:val="32"/>
          <w:szCs w:val="32"/>
          <w:lang w:bidi="ar"/>
        </w:rPr>
        <w:t>功能查看办事指南必填信息完善情况，方便查漏补缺。</w:t>
      </w:r>
      <w:r>
        <w:rPr>
          <w:rFonts w:hint="eastAsia" w:ascii="仿宋" w:hAnsi="仿宋" w:eastAsia="仿宋" w:cs="仿宋"/>
          <w:color w:val="auto"/>
          <w:sz w:val="32"/>
          <w:szCs w:val="32"/>
          <w:lang w:bidi="ar"/>
        </w:rPr>
        <w:t>事项库中“与三级目录不一致事项”，应调整为与三级目录名称、编码、事项类型一致。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kern w:val="0"/>
          <w:sz w:val="32"/>
          <w:szCs w:val="32"/>
          <w:lang w:bidi="ar"/>
        </w:rPr>
      </w:pPr>
      <w:r>
        <w:rPr>
          <w:rFonts w:hint="eastAsia" w:ascii="仿宋" w:hAnsi="仿宋" w:eastAsia="仿宋" w:cs="仿宋"/>
          <w:color w:val="auto"/>
          <w:sz w:val="32"/>
          <w:szCs w:val="32"/>
          <w:lang w:bidi="ar"/>
        </w:rPr>
        <w:t>（三）浙江政务服务网</w:t>
      </w:r>
      <w:r>
        <w:rPr>
          <w:rFonts w:hint="eastAsia" w:ascii="仿宋" w:hAnsi="仿宋" w:eastAsia="仿宋" w:cs="仿宋"/>
          <w:color w:val="auto"/>
          <w:kern w:val="0"/>
          <w:sz w:val="32"/>
          <w:szCs w:val="32"/>
          <w:lang w:bidi="ar"/>
        </w:rPr>
        <w:t>将于8月31日前，发布“跑零次”事项清单、“一证通办”事项清单、全省（全市、全</w:t>
      </w:r>
      <w:r>
        <w:rPr>
          <w:rFonts w:hint="eastAsia" w:ascii="仿宋" w:hAnsi="仿宋" w:eastAsia="仿宋" w:cs="仿宋"/>
          <w:color w:val="auto"/>
          <w:kern w:val="0"/>
          <w:sz w:val="32"/>
          <w:szCs w:val="32"/>
          <w:lang w:eastAsia="zh-CN" w:bidi="ar"/>
        </w:rPr>
        <w:t>区</w:t>
      </w:r>
      <w:r>
        <w:rPr>
          <w:rFonts w:hint="eastAsia" w:ascii="仿宋" w:hAnsi="仿宋" w:eastAsia="仿宋" w:cs="仿宋"/>
          <w:color w:val="auto"/>
          <w:kern w:val="0"/>
          <w:sz w:val="32"/>
          <w:szCs w:val="32"/>
          <w:lang w:bidi="ar"/>
        </w:rPr>
        <w:t>）通办事项清单、告知承诺事项清单、容缺受理事项清单等5份政务服务清单，请各部门务必做好</w:t>
      </w:r>
      <w:r>
        <w:rPr>
          <w:rFonts w:hint="eastAsia" w:ascii="仿宋" w:hAnsi="仿宋" w:eastAsia="仿宋" w:cs="仿宋"/>
          <w:bCs/>
          <w:color w:val="auto"/>
          <w:sz w:val="32"/>
          <w:szCs w:val="32"/>
          <w:lang w:bidi="ar"/>
        </w:rPr>
        <w:t>“办事者到办事地点最少次数”“列入最多跑一次事项清单”“</w:t>
      </w:r>
      <w:r>
        <w:rPr>
          <w:rFonts w:hint="eastAsia" w:ascii="仿宋" w:hAnsi="仿宋" w:eastAsia="仿宋" w:cs="仿宋"/>
          <w:color w:val="auto"/>
          <w:kern w:val="0"/>
          <w:sz w:val="32"/>
          <w:szCs w:val="32"/>
          <w:lang w:bidi="ar"/>
        </w:rPr>
        <w:t>是否已实现一证通办”“通办范围”“实行告知承诺”“材料容缺受理”等字段信息更新。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bidi="ar"/>
        </w:rPr>
      </w:pPr>
      <w:r>
        <w:rPr>
          <w:rFonts w:hint="eastAsia" w:ascii="仿宋" w:hAnsi="仿宋" w:eastAsia="仿宋" w:cs="仿宋"/>
          <w:color w:val="auto"/>
          <w:sz w:val="32"/>
          <w:szCs w:val="32"/>
        </w:rPr>
        <w:t>（四）省级部门原则上会在7月31日前，完成本系统省市县三级目录中的每一事项（包括新增事项和原有事项）标准化办事指南信息更新和统一管控设置，并通知市县部门完善非统一管控信息。省级完成管控设置后，</w:t>
      </w:r>
      <w:r>
        <w:rPr>
          <w:rFonts w:hint="eastAsia" w:ascii="仿宋" w:hAnsi="仿宋" w:eastAsia="仿宋" w:cs="仿宋"/>
          <w:bCs/>
          <w:color w:val="auto"/>
          <w:sz w:val="32"/>
          <w:szCs w:val="32"/>
          <w:lang w:bidi="ar"/>
        </w:rPr>
        <w:t>市级部门也可以针对部分办事指南信息实施本市统一管控，但允许各县（市、区）做减法，包括</w:t>
      </w:r>
      <w:r>
        <w:rPr>
          <w:rFonts w:hint="eastAsia" w:ascii="仿宋" w:hAnsi="仿宋" w:eastAsia="仿宋" w:cs="仿宋"/>
          <w:color w:val="auto"/>
          <w:sz w:val="32"/>
          <w:szCs w:val="32"/>
        </w:rPr>
        <w:t>办事材料、办理时间等。请区级部门加强与省、市级条线部门的对接。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olor w:val="auto"/>
          <w:sz w:val="32"/>
          <w:szCs w:val="32"/>
        </w:rPr>
      </w:pPr>
      <w:r>
        <w:rPr>
          <w:rFonts w:hint="eastAsia" w:ascii="黑体" w:hAnsi="黑体" w:eastAsia="黑体"/>
          <w:color w:val="auto"/>
          <w:sz w:val="32"/>
          <w:szCs w:val="32"/>
        </w:rPr>
        <w:t>三、其他事项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（一）此项工作纳入省、市政府数字化转型绩效考核范围，关系到我区在省市综合考评得分，各单位要高度重视，切实做好办事事项梳理和完善工作。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（二）各部门已开通qlsx账号，账号密码可自行修改，或请本部门管理员（admin）修改。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（三）事项库操作问题可通过以下渠道寻求国泰公司客服人员支持。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国泰公司客服电话：0571-87057409。</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浙江政务服务网省市县交流群，钉钉群号：23393977。</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杭州政务服务网工作群，钉钉群号：21957957。</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萧山区政务服务工作群，钉钉群号：21725974。</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（四）区</w:t>
      </w:r>
      <w:r>
        <w:rPr>
          <w:rFonts w:hint="eastAsia" w:ascii="仿宋" w:hAnsi="仿宋" w:eastAsia="仿宋" w:cs="仿宋"/>
          <w:color w:val="auto"/>
          <w:sz w:val="32"/>
          <w:szCs w:val="32"/>
          <w:lang w:eastAsia="zh-CN"/>
        </w:rPr>
        <w:t>审管办</w:t>
      </w:r>
      <w:r>
        <w:rPr>
          <w:rFonts w:hint="eastAsia" w:ascii="仿宋" w:hAnsi="仿宋" w:eastAsia="仿宋" w:cs="仿宋"/>
          <w:color w:val="auto"/>
          <w:sz w:val="32"/>
          <w:szCs w:val="32"/>
        </w:rPr>
        <w:t>同步做好线下办事大厅办事指南的同源发布工作。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（五）区</w:t>
      </w:r>
      <w:r>
        <w:rPr>
          <w:rFonts w:hint="eastAsia" w:ascii="仿宋" w:hAnsi="仿宋" w:eastAsia="仿宋" w:cs="仿宋"/>
          <w:color w:val="auto"/>
          <w:sz w:val="32"/>
          <w:szCs w:val="32"/>
          <w:lang w:eastAsia="zh-CN"/>
        </w:rPr>
        <w:t>政</w:t>
      </w:r>
      <w:r>
        <w:rPr>
          <w:rFonts w:hint="eastAsia" w:ascii="仿宋" w:hAnsi="仿宋" w:eastAsia="仿宋" w:cs="仿宋"/>
          <w:color w:val="auto"/>
          <w:sz w:val="32"/>
          <w:szCs w:val="32"/>
        </w:rPr>
        <w:t>府办（区数据局）将通报各部门办事事项梳理工作进展和浙江政务服务网办事指南要素问题。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（六）</w:t>
      </w:r>
      <w:r>
        <w:rPr>
          <w:rFonts w:hint="eastAsia" w:ascii="仿宋" w:hAnsi="仿宋" w:eastAsia="仿宋" w:cs="仿宋"/>
          <w:color w:val="auto"/>
          <w:sz w:val="32"/>
          <w:szCs w:val="32"/>
          <w:lang w:bidi="ar"/>
        </w:rPr>
        <w:t>因颗粒度细化而新增的事项，在领用之时，提供窗口办、网上办、掌上办等多端服务的业务系统，必须根据省大数据局下发的《关于做好业务办理系统事项颗粒度细化适用性改造的通知》（登录http://gmuser.zjzwfw.gov.cn下载）要求，同步完成系统改造，确保新增事项多端服务正常。</w:t>
      </w:r>
    </w:p>
    <w:p>
      <w:pPr>
        <w:keepNext w:val="0"/>
        <w:keepLines w:val="0"/>
        <w:pageBreakBefore w:val="0"/>
        <w:widowControl w:val="0"/>
        <w:kinsoku/>
        <w:wordWrap/>
        <w:overflowPunct/>
        <w:topLinePunct w:val="0"/>
        <w:autoSpaceDE/>
        <w:autoSpaceDN/>
        <w:bidi w:val="0"/>
        <w:adjustRightInd/>
        <w:snapToGrid/>
        <w:spacing w:line="580" w:lineRule="exact"/>
        <w:ind w:left="1598" w:leftChars="304" w:hanging="960" w:hangingChars="300"/>
        <w:textAlignment w:val="auto"/>
        <w:rPr>
          <w:rFonts w:hint="eastAsia" w:ascii="仿宋" w:hAnsi="仿宋" w:eastAsia="仿宋" w:cs="仿宋"/>
          <w:color w:val="auto"/>
          <w:sz w:val="32"/>
          <w:szCs w:val="32"/>
          <w:lang w:bidi="ar"/>
        </w:rPr>
      </w:pPr>
    </w:p>
    <w:p>
      <w:pPr>
        <w:keepNext w:val="0"/>
        <w:keepLines w:val="0"/>
        <w:pageBreakBefore w:val="0"/>
        <w:widowControl w:val="0"/>
        <w:kinsoku/>
        <w:wordWrap/>
        <w:overflowPunct/>
        <w:topLinePunct w:val="0"/>
        <w:autoSpaceDE/>
        <w:autoSpaceDN/>
        <w:bidi w:val="0"/>
        <w:adjustRightInd/>
        <w:snapToGrid/>
        <w:spacing w:line="580" w:lineRule="exact"/>
        <w:ind w:left="1598" w:leftChars="304" w:hanging="960" w:hangingChars="300"/>
        <w:textAlignment w:val="auto"/>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附件：</w:t>
      </w:r>
      <w:r>
        <w:rPr>
          <w:rFonts w:hint="eastAsia" w:ascii="仿宋" w:hAnsi="仿宋" w:eastAsia="仿宋" w:cs="仿宋"/>
          <w:color w:val="auto"/>
          <w:sz w:val="32"/>
          <w:szCs w:val="32"/>
        </w:rPr>
        <w:t>省跑改办、省编办、省大数据局《关于加快推进浙江政务服务网办事事项梳理工作的通知》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color w:val="auto"/>
          <w:sz w:val="32"/>
          <w:szCs w:val="32"/>
          <w:lang w:bidi="ar"/>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color w:val="auto"/>
          <w:sz w:val="32"/>
          <w:szCs w:val="32"/>
          <w:lang w:bidi="ar"/>
        </w:rPr>
      </w:pPr>
    </w:p>
    <w:p>
      <w:pPr>
        <w:keepNext w:val="0"/>
        <w:keepLines w:val="0"/>
        <w:pageBreakBefore w:val="0"/>
        <w:widowControl w:val="0"/>
        <w:kinsoku/>
        <w:wordWrap/>
        <w:overflowPunct/>
        <w:topLinePunct w:val="0"/>
        <w:autoSpaceDE/>
        <w:autoSpaceDN/>
        <w:bidi w:val="0"/>
        <w:adjustRightInd/>
        <w:snapToGrid/>
        <w:spacing w:line="580" w:lineRule="exact"/>
        <w:ind w:firstLine="2720" w:firstLineChars="850"/>
        <w:jc w:val="right"/>
        <w:textAlignment w:val="auto"/>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区跑改办</w:t>
      </w:r>
    </w:p>
    <w:p>
      <w:pPr>
        <w:keepNext w:val="0"/>
        <w:keepLines w:val="0"/>
        <w:pageBreakBefore w:val="0"/>
        <w:widowControl w:val="0"/>
        <w:kinsoku/>
        <w:wordWrap/>
        <w:overflowPunct/>
        <w:topLinePunct w:val="0"/>
        <w:autoSpaceDE/>
        <w:autoSpaceDN/>
        <w:bidi w:val="0"/>
        <w:adjustRightInd/>
        <w:snapToGrid/>
        <w:spacing w:line="580" w:lineRule="exact"/>
        <w:ind w:firstLine="3680" w:firstLineChars="1150"/>
        <w:jc w:val="right"/>
        <w:textAlignment w:val="auto"/>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区委编办</w:t>
      </w:r>
    </w:p>
    <w:p>
      <w:pPr>
        <w:keepNext w:val="0"/>
        <w:keepLines w:val="0"/>
        <w:pageBreakBefore w:val="0"/>
        <w:widowControl w:val="0"/>
        <w:kinsoku/>
        <w:wordWrap/>
        <w:overflowPunct/>
        <w:topLinePunct w:val="0"/>
        <w:autoSpaceDE/>
        <w:autoSpaceDN/>
        <w:bidi w:val="0"/>
        <w:adjustRightInd/>
        <w:snapToGrid/>
        <w:spacing w:line="580" w:lineRule="exact"/>
        <w:ind w:firstLine="3680" w:firstLineChars="1150"/>
        <w:jc w:val="right"/>
        <w:textAlignment w:val="auto"/>
        <w:rPr>
          <w:rFonts w:hint="eastAsia" w:ascii="仿宋" w:hAnsi="仿宋" w:eastAsia="仿宋" w:cs="仿宋"/>
          <w:color w:val="auto"/>
          <w:sz w:val="32"/>
          <w:szCs w:val="32"/>
          <w:lang w:eastAsia="zh-CN" w:bidi="ar"/>
        </w:rPr>
      </w:pPr>
      <w:r>
        <w:rPr>
          <w:rFonts w:hint="eastAsia" w:ascii="仿宋" w:hAnsi="仿宋" w:eastAsia="仿宋" w:cs="仿宋"/>
          <w:color w:val="auto"/>
          <w:sz w:val="32"/>
          <w:szCs w:val="32"/>
          <w:lang w:bidi="ar"/>
        </w:rPr>
        <w:t>区</w:t>
      </w:r>
      <w:r>
        <w:rPr>
          <w:rFonts w:hint="eastAsia" w:ascii="仿宋" w:hAnsi="仿宋" w:eastAsia="仿宋" w:cs="仿宋"/>
          <w:color w:val="auto"/>
          <w:sz w:val="32"/>
          <w:szCs w:val="32"/>
          <w:lang w:eastAsia="zh-CN" w:bidi="ar"/>
        </w:rPr>
        <w:t>审管办</w:t>
      </w:r>
    </w:p>
    <w:p>
      <w:pPr>
        <w:keepNext w:val="0"/>
        <w:keepLines w:val="0"/>
        <w:pageBreakBefore w:val="0"/>
        <w:widowControl w:val="0"/>
        <w:kinsoku/>
        <w:wordWrap/>
        <w:overflowPunct/>
        <w:topLinePunct w:val="0"/>
        <w:autoSpaceDE/>
        <w:autoSpaceDN/>
        <w:bidi w:val="0"/>
        <w:adjustRightInd/>
        <w:snapToGrid/>
        <w:spacing w:line="580" w:lineRule="exact"/>
        <w:ind w:firstLine="3360" w:firstLineChars="1050"/>
        <w:jc w:val="right"/>
        <w:textAlignment w:val="auto"/>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区</w:t>
      </w:r>
      <w:r>
        <w:rPr>
          <w:rFonts w:hint="eastAsia" w:ascii="仿宋" w:hAnsi="仿宋" w:eastAsia="仿宋" w:cs="仿宋"/>
          <w:color w:val="auto"/>
          <w:sz w:val="32"/>
          <w:szCs w:val="32"/>
          <w:lang w:eastAsia="zh-CN" w:bidi="ar"/>
        </w:rPr>
        <w:t>政</w:t>
      </w:r>
      <w:r>
        <w:rPr>
          <w:rFonts w:hint="eastAsia" w:ascii="仿宋" w:hAnsi="仿宋" w:eastAsia="仿宋" w:cs="仿宋"/>
          <w:color w:val="auto"/>
          <w:sz w:val="32"/>
          <w:szCs w:val="32"/>
          <w:lang w:bidi="ar"/>
        </w:rPr>
        <w:t>府办（区数据局）</w:t>
      </w:r>
    </w:p>
    <w:p>
      <w:pPr>
        <w:keepNext w:val="0"/>
        <w:keepLines w:val="0"/>
        <w:pageBreakBefore w:val="0"/>
        <w:widowControl w:val="0"/>
        <w:kinsoku/>
        <w:wordWrap/>
        <w:overflowPunct/>
        <w:topLinePunct w:val="0"/>
        <w:autoSpaceDE/>
        <w:autoSpaceDN/>
        <w:bidi w:val="0"/>
        <w:adjustRightInd/>
        <w:snapToGrid/>
        <w:spacing w:line="580" w:lineRule="exact"/>
        <w:ind w:firstLine="3040" w:firstLineChars="950"/>
        <w:jc w:val="right"/>
        <w:textAlignment w:val="auto"/>
      </w:pPr>
      <w:r>
        <w:rPr>
          <w:rFonts w:hint="eastAsia" w:ascii="仿宋" w:hAnsi="仿宋" w:eastAsia="仿宋" w:cs="仿宋"/>
          <w:color w:val="auto"/>
          <w:sz w:val="32"/>
          <w:szCs w:val="32"/>
          <w:lang w:bidi="ar"/>
        </w:rPr>
        <w:t>2019年7月29日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563F02"/>
    <w:rsid w:val="33563F02"/>
    <w:rsid w:val="57FB7B6C"/>
    <w:rsid w:val="784F6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2019-07-30T09:21:00Z</dcterms:created>
  <dc:creator>小耳朵</dc:creator>
  <cp:lastModifiedBy>小耳朵</cp:lastModifiedBy>
  <dcterms:modified xsi:type="dcterms:W3CDTF">2019-08-06T03:25:13Z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