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i w:val="0"/>
          <w:caps w:val="0"/>
          <w:color w:val="191F2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191F25"/>
          <w:spacing w:val="0"/>
          <w:sz w:val="32"/>
          <w:szCs w:val="32"/>
          <w:shd w:val="clear" w:fill="FFFFFF"/>
          <w:lang w:val="en-US" w:eastAsia="zh-CN"/>
        </w:rPr>
        <w:t>附件1</w:t>
      </w:r>
    </w:p>
    <w:p>
      <w:pPr>
        <w:jc w:val="center"/>
        <w:rPr>
          <w:rFonts w:hint="eastAsia" w:ascii="仿宋_GB2312" w:hAnsi="仿宋_GB2312" w:eastAsia="仿宋_GB2312" w:cs="仿宋_GB2312"/>
          <w:i w:val="0"/>
          <w:caps w:val="0"/>
          <w:color w:val="191F2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191F25"/>
          <w:spacing w:val="0"/>
          <w:sz w:val="32"/>
          <w:szCs w:val="32"/>
          <w:shd w:val="clear" w:fill="FFFFFF"/>
          <w:lang w:val="en-US" w:eastAsia="zh-CN"/>
        </w:rPr>
        <w:t>考核涉及牵头单位（排名不分先后）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191F25"/>
          <w:spacing w:val="0"/>
          <w:sz w:val="32"/>
          <w:szCs w:val="32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191F25"/>
          <w:spacing w:val="0"/>
          <w:sz w:val="32"/>
          <w:szCs w:val="32"/>
          <w:shd w:val="clear" w:fill="FFFFFF"/>
          <w:lang w:val="en-US" w:eastAsia="zh-CN"/>
        </w:rPr>
        <w:t>区委宣传部、区委政法委、区委编办、区法院、区发改局、区审管办、区经信局、区市场监管局、区住建局、区规划和自然资源分局（包含改革试点完成自评）、区商务局（改革试点完成自评）、区金融办、区司法局、区信访局、区数管局、区卫健局、市医保萧山分局、区教育局、区文旅局、区垃圾分类办、国网萧山区供电公司、钱江海关驻萧然办事处、人行萧山支行、区税务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40111"/>
    <w:rsid w:val="2010704A"/>
    <w:rsid w:val="20A440F3"/>
    <w:rsid w:val="64B02F0F"/>
    <w:rsid w:val="7A647E2A"/>
    <w:rsid w:val="7AD4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小耳朵</cp:lastModifiedBy>
  <dcterms:modified xsi:type="dcterms:W3CDTF">2019-12-17T07:40:38Z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