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r>
        <w:rPr>
          <w:rFonts w:hint="eastAsia"/>
          <w:b/>
          <w:bCs/>
          <w:sz w:val="44"/>
          <w:szCs w:val="44"/>
          <w:lang w:val="en-US" w:eastAsia="zh-CN"/>
        </w:rPr>
        <w:t>9月30日系统目录比对及政务网事项调整存在的问题</w:t>
      </w:r>
    </w:p>
    <w:p>
      <w:pPr>
        <w:rPr>
          <w:rFonts w:ascii="仿宋_GB2312" w:eastAsia="仿宋_GB2312"/>
          <w:sz w:val="30"/>
          <w:szCs w:val="30"/>
        </w:rPr>
      </w:pPr>
      <w:r>
        <w:rPr>
          <w:rFonts w:hint="eastAsia"/>
          <w:b/>
          <w:bCs/>
          <w:sz w:val="30"/>
          <w:szCs w:val="30"/>
          <w:lang w:val="en-US" w:eastAsia="zh-CN"/>
        </w:rPr>
        <w:t>一、根据各区、县（市）在9月30日汇总的事项总数，存在同类区域间事项不平衡、事项数差距较大（如下城区与主城区数据相差较大）、个别区的事项总数超过省系统目录区级事项总数（省系统指导目录中区级事项在770余项左右，余杭、桐庐、富阳事项总数已超出事项总数上限）等情况。详细情况如下：</w:t>
      </w:r>
    </w:p>
    <w:tbl>
      <w:tblPr>
        <w:tblStyle w:val="3"/>
        <w:tblW w:w="9400" w:type="dxa"/>
        <w:jc w:val="center"/>
        <w:tblInd w:w="0" w:type="dxa"/>
        <w:tblLayout w:type="fixed"/>
        <w:tblCellMar>
          <w:top w:w="0" w:type="dxa"/>
          <w:left w:w="108" w:type="dxa"/>
          <w:bottom w:w="0" w:type="dxa"/>
          <w:right w:w="108" w:type="dxa"/>
        </w:tblCellMar>
      </w:tblPr>
      <w:tblGrid>
        <w:gridCol w:w="671"/>
        <w:gridCol w:w="2280"/>
        <w:gridCol w:w="1569"/>
        <w:gridCol w:w="1126"/>
        <w:gridCol w:w="1126"/>
        <w:gridCol w:w="1180"/>
        <w:gridCol w:w="1448"/>
      </w:tblGrid>
      <w:tr>
        <w:tblPrEx>
          <w:tblLayout w:type="fixed"/>
          <w:tblCellMar>
            <w:top w:w="0" w:type="dxa"/>
            <w:left w:w="108" w:type="dxa"/>
            <w:bottom w:w="0" w:type="dxa"/>
            <w:right w:w="108" w:type="dxa"/>
          </w:tblCellMar>
        </w:tblPrEx>
        <w:trPr>
          <w:trHeight w:val="840" w:hRule="atLeast"/>
          <w:jc w:val="center"/>
        </w:trPr>
        <w:tc>
          <w:tcPr>
            <w:tcW w:w="9400" w:type="dxa"/>
            <w:gridSpan w:val="7"/>
            <w:vAlign w:val="center"/>
          </w:tcPr>
          <w:p>
            <w:pPr>
              <w:widowControl/>
              <w:jc w:val="center"/>
              <w:rPr>
                <w:rFonts w:ascii="方正小标宋_GBK" w:hAnsi="黑体" w:eastAsia="方正小标宋_GBK" w:cs="宋体"/>
                <w:kern w:val="0"/>
                <w:sz w:val="44"/>
                <w:szCs w:val="44"/>
              </w:rPr>
            </w:pPr>
            <w:r>
              <w:rPr>
                <w:rFonts w:hint="eastAsia" w:ascii="方正小标宋_GBK" w:hAnsi="黑体" w:eastAsia="方正小标宋_GBK" w:cs="宋体"/>
                <w:kern w:val="0"/>
                <w:sz w:val="44"/>
                <w:szCs w:val="44"/>
              </w:rPr>
              <w:t>杭州市各地“最多跑一次”事项汇总表</w:t>
            </w:r>
          </w:p>
          <w:p>
            <w:pPr>
              <w:rPr>
                <w:rFonts w:ascii="宋体" w:cs="宋体"/>
                <w:kern w:val="0"/>
                <w:sz w:val="24"/>
                <w:szCs w:val="24"/>
              </w:rPr>
            </w:pPr>
            <w:r>
              <w:rPr>
                <w:rFonts w:hint="eastAsia" w:ascii="宋体" w:hAnsi="宋体" w:cs="宋体"/>
                <w:kern w:val="0"/>
                <w:sz w:val="24"/>
                <w:szCs w:val="24"/>
              </w:rPr>
              <w:t>报送单位：</w:t>
            </w:r>
            <w:r>
              <w:rPr>
                <w:rFonts w:hint="eastAsia" w:ascii="宋体" w:hAnsi="宋体" w:cs="宋体"/>
                <w:kern w:val="0"/>
                <w:sz w:val="24"/>
                <w:szCs w:val="24"/>
                <w:lang w:val="en-US" w:eastAsia="zh-CN"/>
              </w:rPr>
              <w:t xml:space="preserve">                                 </w:t>
            </w:r>
            <w:r>
              <w:rPr>
                <w:rFonts w:hint="eastAsia" w:ascii="宋体" w:hAnsi="宋体" w:cs="宋体"/>
                <w:kern w:val="0"/>
                <w:sz w:val="24"/>
                <w:szCs w:val="24"/>
              </w:rPr>
              <w:t xml:space="preserve">             负责人签名：</w:t>
            </w:r>
          </w:p>
        </w:tc>
      </w:tr>
      <w:tr>
        <w:tblPrEx>
          <w:tblLayout w:type="fixed"/>
          <w:tblCellMar>
            <w:top w:w="0" w:type="dxa"/>
            <w:left w:w="108" w:type="dxa"/>
            <w:bottom w:w="0" w:type="dxa"/>
            <w:right w:w="108" w:type="dxa"/>
          </w:tblCellMar>
        </w:tblPrEx>
        <w:trPr>
          <w:trHeight w:val="600" w:hRule="atLeast"/>
          <w:jc w:val="center"/>
        </w:trPr>
        <w:tc>
          <w:tcPr>
            <w:tcW w:w="67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序号</w:t>
            </w:r>
          </w:p>
        </w:tc>
        <w:tc>
          <w:tcPr>
            <w:tcW w:w="22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地区</w:t>
            </w:r>
          </w:p>
        </w:tc>
        <w:tc>
          <w:tcPr>
            <w:tcW w:w="156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办事事项总数</w:t>
            </w:r>
          </w:p>
        </w:tc>
        <w:tc>
          <w:tcPr>
            <w:tcW w:w="3432"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“最多跑一次”事项数</w:t>
            </w:r>
          </w:p>
        </w:tc>
        <w:tc>
          <w:tcPr>
            <w:tcW w:w="144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已实现“零上门”事项</w:t>
            </w:r>
          </w:p>
        </w:tc>
      </w:tr>
      <w:tr>
        <w:tblPrEx>
          <w:tblLayout w:type="fixed"/>
          <w:tblCellMar>
            <w:top w:w="0" w:type="dxa"/>
            <w:left w:w="108" w:type="dxa"/>
            <w:bottom w:w="0" w:type="dxa"/>
            <w:right w:w="108" w:type="dxa"/>
          </w:tblCellMar>
        </w:tblPrEx>
        <w:trPr>
          <w:trHeight w:val="660" w:hRule="atLeast"/>
          <w:jc w:val="center"/>
        </w:trPr>
        <w:tc>
          <w:tcPr>
            <w:tcW w:w="6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2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15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行政权力事项数</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公共服务事项数</w:t>
            </w:r>
          </w:p>
        </w:tc>
        <w:tc>
          <w:tcPr>
            <w:tcW w:w="11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小计</w:t>
            </w:r>
          </w:p>
        </w:tc>
        <w:tc>
          <w:tcPr>
            <w:tcW w:w="14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r>
      <w:tr>
        <w:tblPrEx>
          <w:tblLayout w:type="fixed"/>
          <w:tblCellMar>
            <w:top w:w="0" w:type="dxa"/>
            <w:left w:w="108" w:type="dxa"/>
            <w:bottom w:w="0" w:type="dxa"/>
            <w:right w:w="108" w:type="dxa"/>
          </w:tblCellMar>
        </w:tblPrEx>
        <w:trPr>
          <w:trHeight w:val="54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1</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上城区</w:t>
            </w:r>
          </w:p>
        </w:tc>
        <w:tc>
          <w:tcPr>
            <w:tcW w:w="1569"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475</w:t>
            </w:r>
          </w:p>
        </w:tc>
        <w:tc>
          <w:tcPr>
            <w:tcW w:w="1126"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422</w:t>
            </w:r>
          </w:p>
        </w:tc>
        <w:tc>
          <w:tcPr>
            <w:tcW w:w="1126"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31</w:t>
            </w:r>
          </w:p>
        </w:tc>
        <w:tc>
          <w:tcPr>
            <w:tcW w:w="1180" w:type="dxa"/>
            <w:tcBorders>
              <w:top w:val="nil"/>
              <w:left w:val="nil"/>
              <w:bottom w:val="nil"/>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453</w:t>
            </w:r>
          </w:p>
        </w:tc>
        <w:tc>
          <w:tcPr>
            <w:tcW w:w="1448"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85</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2</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下城区</w:t>
            </w:r>
          </w:p>
        </w:tc>
        <w:tc>
          <w:tcPr>
            <w:tcW w:w="1569"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ascii="宋体" w:cs="宋体"/>
                <w:kern w:val="0"/>
                <w:sz w:val="24"/>
                <w:szCs w:val="24"/>
                <w:highlight w:val="yellow"/>
              </w:rPr>
              <w:t>390</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ascii="宋体" w:cs="宋体"/>
                <w:kern w:val="0"/>
                <w:sz w:val="24"/>
                <w:szCs w:val="24"/>
                <w:highlight w:val="yellow"/>
              </w:rPr>
              <w:t>340</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ascii="宋体" w:cs="宋体"/>
                <w:kern w:val="0"/>
                <w:sz w:val="24"/>
                <w:szCs w:val="24"/>
                <w:highlight w:val="yellow"/>
              </w:rPr>
              <w:t>35</w:t>
            </w:r>
          </w:p>
        </w:tc>
        <w:tc>
          <w:tcPr>
            <w:tcW w:w="1180"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ascii="宋体" w:cs="宋体"/>
                <w:kern w:val="0"/>
                <w:sz w:val="24"/>
                <w:szCs w:val="24"/>
                <w:highlight w:val="yellow"/>
              </w:rPr>
              <w:t>375</w:t>
            </w:r>
          </w:p>
        </w:tc>
        <w:tc>
          <w:tcPr>
            <w:tcW w:w="1448"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ascii="宋体" w:cs="宋体"/>
                <w:kern w:val="0"/>
                <w:sz w:val="24"/>
                <w:szCs w:val="24"/>
                <w:highlight w:val="yellow"/>
              </w:rPr>
              <w:t>43</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3</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江干区</w:t>
            </w:r>
          </w:p>
        </w:tc>
        <w:tc>
          <w:tcPr>
            <w:tcW w:w="1569"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cs="宋体"/>
                <w:kern w:val="0"/>
                <w:sz w:val="24"/>
                <w:szCs w:val="24"/>
              </w:rPr>
              <w:t>501</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cs="宋体"/>
                <w:kern w:val="0"/>
                <w:sz w:val="24"/>
                <w:szCs w:val="24"/>
              </w:rPr>
              <w:t>456</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cs="宋体"/>
                <w:kern w:val="0"/>
                <w:sz w:val="24"/>
                <w:szCs w:val="24"/>
              </w:rPr>
              <w:t>28</w:t>
            </w:r>
          </w:p>
        </w:tc>
        <w:tc>
          <w:tcPr>
            <w:tcW w:w="11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cs="宋体"/>
                <w:kern w:val="0"/>
                <w:sz w:val="24"/>
                <w:szCs w:val="24"/>
              </w:rPr>
              <w:t>484</w:t>
            </w:r>
          </w:p>
        </w:tc>
        <w:tc>
          <w:tcPr>
            <w:tcW w:w="1448"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cs="宋体"/>
                <w:kern w:val="0"/>
                <w:sz w:val="24"/>
                <w:szCs w:val="24"/>
              </w:rPr>
              <w:t>21</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4</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拱墅区</w:t>
            </w:r>
          </w:p>
        </w:tc>
        <w:tc>
          <w:tcPr>
            <w:tcW w:w="1569" w:type="dxa"/>
            <w:tcBorders>
              <w:top w:val="nil"/>
              <w:left w:val="nil"/>
              <w:bottom w:val="single" w:color="auto" w:sz="4" w:space="0"/>
              <w:right w:val="single" w:color="auto" w:sz="4" w:space="0"/>
            </w:tcBorders>
            <w:vAlign w:val="center"/>
          </w:tcPr>
          <w:p>
            <w:pPr>
              <w:jc w:val="center"/>
              <w:rPr>
                <w:rFonts w:ascii="宋体" w:hAnsi="宋体" w:cs="宋体"/>
                <w:color w:val="000000"/>
                <w:sz w:val="24"/>
                <w:szCs w:val="24"/>
              </w:rPr>
            </w:pPr>
            <w:r>
              <w:rPr>
                <w:rFonts w:hint="eastAsia"/>
                <w:color w:val="000000"/>
              </w:rPr>
              <w:t>522</w:t>
            </w:r>
          </w:p>
        </w:tc>
        <w:tc>
          <w:tcPr>
            <w:tcW w:w="1126" w:type="dxa"/>
            <w:tcBorders>
              <w:top w:val="nil"/>
              <w:left w:val="nil"/>
              <w:bottom w:val="single" w:color="auto" w:sz="4" w:space="0"/>
              <w:right w:val="single" w:color="auto" w:sz="4" w:space="0"/>
            </w:tcBorders>
            <w:vAlign w:val="center"/>
          </w:tcPr>
          <w:p>
            <w:pPr>
              <w:jc w:val="center"/>
              <w:rPr>
                <w:rFonts w:ascii="宋体" w:hAnsi="宋体" w:cs="宋体"/>
                <w:color w:val="000000"/>
                <w:sz w:val="24"/>
                <w:szCs w:val="24"/>
              </w:rPr>
            </w:pPr>
            <w:r>
              <w:rPr>
                <w:rFonts w:hint="eastAsia"/>
                <w:color w:val="000000"/>
              </w:rPr>
              <w:t>475</w:t>
            </w:r>
          </w:p>
        </w:tc>
        <w:tc>
          <w:tcPr>
            <w:tcW w:w="1126" w:type="dxa"/>
            <w:tcBorders>
              <w:top w:val="nil"/>
              <w:left w:val="nil"/>
              <w:bottom w:val="single" w:color="auto" w:sz="4" w:space="0"/>
              <w:right w:val="single" w:color="auto" w:sz="4" w:space="0"/>
            </w:tcBorders>
            <w:vAlign w:val="center"/>
          </w:tcPr>
          <w:p>
            <w:pPr>
              <w:jc w:val="center"/>
              <w:rPr>
                <w:rFonts w:ascii="宋体" w:hAnsi="宋体" w:cs="宋体"/>
                <w:color w:val="000000"/>
                <w:sz w:val="24"/>
                <w:szCs w:val="24"/>
              </w:rPr>
            </w:pPr>
            <w:r>
              <w:rPr>
                <w:rFonts w:hint="eastAsia"/>
                <w:color w:val="000000"/>
              </w:rPr>
              <w:t>34</w:t>
            </w:r>
          </w:p>
        </w:tc>
        <w:tc>
          <w:tcPr>
            <w:tcW w:w="1180" w:type="dxa"/>
            <w:tcBorders>
              <w:top w:val="nil"/>
              <w:left w:val="nil"/>
              <w:bottom w:val="single" w:color="auto" w:sz="4" w:space="0"/>
              <w:right w:val="single" w:color="auto" w:sz="4" w:space="0"/>
            </w:tcBorders>
            <w:vAlign w:val="center"/>
          </w:tcPr>
          <w:p>
            <w:pPr>
              <w:jc w:val="center"/>
              <w:rPr>
                <w:rFonts w:ascii="宋体" w:hAnsi="宋体" w:cs="宋体"/>
                <w:color w:val="000000"/>
                <w:sz w:val="24"/>
                <w:szCs w:val="24"/>
              </w:rPr>
            </w:pPr>
            <w:r>
              <w:rPr>
                <w:rFonts w:hint="eastAsia"/>
                <w:color w:val="000000"/>
              </w:rPr>
              <w:t>509</w:t>
            </w:r>
          </w:p>
        </w:tc>
        <w:tc>
          <w:tcPr>
            <w:tcW w:w="1448" w:type="dxa"/>
            <w:tcBorders>
              <w:top w:val="nil"/>
              <w:left w:val="nil"/>
              <w:bottom w:val="single" w:color="auto" w:sz="4" w:space="0"/>
              <w:right w:val="single" w:color="auto" w:sz="4" w:space="0"/>
            </w:tcBorders>
            <w:vAlign w:val="center"/>
          </w:tcPr>
          <w:p>
            <w:pPr>
              <w:jc w:val="center"/>
              <w:rPr>
                <w:rFonts w:ascii="宋体" w:hAnsi="宋体" w:cs="宋体"/>
                <w:color w:val="000000"/>
                <w:sz w:val="24"/>
                <w:szCs w:val="24"/>
              </w:rPr>
            </w:pPr>
            <w:r>
              <w:rPr>
                <w:rFonts w:hint="eastAsia"/>
                <w:color w:val="000000"/>
              </w:rPr>
              <w:t>37</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5</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西湖区</w:t>
            </w:r>
          </w:p>
        </w:tc>
        <w:tc>
          <w:tcPr>
            <w:tcW w:w="1569"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473</w:t>
            </w:r>
          </w:p>
        </w:tc>
        <w:tc>
          <w:tcPr>
            <w:tcW w:w="1126"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423</w:t>
            </w:r>
          </w:p>
        </w:tc>
        <w:tc>
          <w:tcPr>
            <w:tcW w:w="1126"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37</w:t>
            </w:r>
          </w:p>
        </w:tc>
        <w:tc>
          <w:tcPr>
            <w:tcW w:w="1180"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460</w:t>
            </w:r>
          </w:p>
        </w:tc>
        <w:tc>
          <w:tcPr>
            <w:tcW w:w="1448"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20</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6</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高新区（滨江）</w:t>
            </w:r>
          </w:p>
        </w:tc>
        <w:tc>
          <w:tcPr>
            <w:tcW w:w="1569" w:type="dxa"/>
            <w:tcBorders>
              <w:top w:val="nil"/>
              <w:left w:val="nil"/>
              <w:bottom w:val="single" w:color="auto" w:sz="4" w:space="0"/>
              <w:right w:val="single" w:color="auto" w:sz="4" w:space="0"/>
            </w:tcBorders>
            <w:vAlign w:val="center"/>
          </w:tcPr>
          <w:p>
            <w:pPr>
              <w:spacing w:before="100" w:beforeAutospacing="1" w:after="100" w:afterAutospacing="1"/>
              <w:jc w:val="center"/>
              <w:rPr>
                <w:rFonts w:ascii="宋体" w:hAnsi="宋体" w:cs="宋体"/>
                <w:sz w:val="24"/>
                <w:szCs w:val="24"/>
              </w:rPr>
            </w:pPr>
            <w:r>
              <w:rPr>
                <w:rFonts w:hint="eastAsia"/>
              </w:rPr>
              <w:t>510</w:t>
            </w:r>
          </w:p>
        </w:tc>
        <w:tc>
          <w:tcPr>
            <w:tcW w:w="1126" w:type="dxa"/>
            <w:tcBorders>
              <w:top w:val="nil"/>
              <w:left w:val="nil"/>
              <w:bottom w:val="single" w:color="auto" w:sz="4" w:space="0"/>
              <w:right w:val="single" w:color="auto" w:sz="4" w:space="0"/>
            </w:tcBorders>
            <w:vAlign w:val="center"/>
          </w:tcPr>
          <w:p>
            <w:pPr>
              <w:spacing w:before="100" w:beforeAutospacing="1" w:after="100" w:afterAutospacing="1"/>
              <w:jc w:val="center"/>
              <w:rPr>
                <w:rFonts w:ascii="宋体" w:hAnsi="宋体" w:cs="宋体"/>
                <w:sz w:val="24"/>
                <w:szCs w:val="24"/>
              </w:rPr>
            </w:pPr>
            <w:r>
              <w:rPr>
                <w:rFonts w:hint="eastAsia"/>
              </w:rPr>
              <w:t>453</w:t>
            </w:r>
          </w:p>
        </w:tc>
        <w:tc>
          <w:tcPr>
            <w:tcW w:w="1126" w:type="dxa"/>
            <w:tcBorders>
              <w:top w:val="nil"/>
              <w:left w:val="nil"/>
              <w:bottom w:val="single" w:color="auto" w:sz="4" w:space="0"/>
              <w:right w:val="single" w:color="auto" w:sz="4" w:space="0"/>
            </w:tcBorders>
            <w:vAlign w:val="center"/>
          </w:tcPr>
          <w:p>
            <w:pPr>
              <w:spacing w:before="100" w:beforeAutospacing="1" w:after="100" w:afterAutospacing="1"/>
              <w:jc w:val="center"/>
              <w:rPr>
                <w:rFonts w:ascii="宋体" w:hAnsi="宋体" w:cs="宋体"/>
                <w:sz w:val="24"/>
                <w:szCs w:val="24"/>
              </w:rPr>
            </w:pPr>
            <w:r>
              <w:rPr>
                <w:rFonts w:hint="eastAsia"/>
              </w:rPr>
              <w:t>33</w:t>
            </w:r>
          </w:p>
        </w:tc>
        <w:tc>
          <w:tcPr>
            <w:tcW w:w="1180" w:type="dxa"/>
            <w:tcBorders>
              <w:top w:val="nil"/>
              <w:left w:val="nil"/>
              <w:bottom w:val="single" w:color="auto" w:sz="4" w:space="0"/>
              <w:right w:val="single" w:color="auto" w:sz="4" w:space="0"/>
            </w:tcBorders>
            <w:vAlign w:val="center"/>
          </w:tcPr>
          <w:p>
            <w:pPr>
              <w:spacing w:before="100" w:beforeAutospacing="1" w:after="100" w:afterAutospacing="1"/>
              <w:jc w:val="center"/>
              <w:rPr>
                <w:rFonts w:ascii="宋体" w:hAnsi="宋体" w:cs="宋体"/>
                <w:sz w:val="24"/>
                <w:szCs w:val="24"/>
              </w:rPr>
            </w:pPr>
            <w:r>
              <w:rPr>
                <w:rFonts w:hint="eastAsia"/>
              </w:rPr>
              <w:t>486</w:t>
            </w:r>
          </w:p>
        </w:tc>
        <w:tc>
          <w:tcPr>
            <w:tcW w:w="1448" w:type="dxa"/>
            <w:tcBorders>
              <w:top w:val="nil"/>
              <w:left w:val="nil"/>
              <w:bottom w:val="single" w:color="auto" w:sz="4" w:space="0"/>
              <w:right w:val="single" w:color="auto" w:sz="4" w:space="0"/>
            </w:tcBorders>
            <w:vAlign w:val="center"/>
          </w:tcPr>
          <w:p>
            <w:pPr>
              <w:spacing w:before="100" w:beforeAutospacing="1" w:after="100" w:afterAutospacing="1"/>
              <w:jc w:val="center"/>
              <w:rPr>
                <w:rFonts w:ascii="宋体" w:hAnsi="宋体" w:cs="宋体"/>
                <w:sz w:val="24"/>
                <w:szCs w:val="24"/>
              </w:rPr>
            </w:pPr>
            <w:r>
              <w:rPr>
                <w:rFonts w:hint="eastAsia"/>
              </w:rPr>
              <w:t>28</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7</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萧山区</w:t>
            </w:r>
          </w:p>
        </w:tc>
        <w:tc>
          <w:tcPr>
            <w:tcW w:w="1569"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ascii="宋体" w:cs="宋体"/>
                <w:kern w:val="0"/>
                <w:sz w:val="24"/>
                <w:szCs w:val="24"/>
              </w:rPr>
              <w:t>748</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ascii="宋体" w:cs="宋体"/>
                <w:kern w:val="0"/>
                <w:sz w:val="24"/>
                <w:szCs w:val="24"/>
              </w:rPr>
              <w:t>659</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ascii="宋体" w:cs="宋体"/>
                <w:kern w:val="0"/>
                <w:sz w:val="24"/>
                <w:szCs w:val="24"/>
              </w:rPr>
              <w:t>61</w:t>
            </w:r>
          </w:p>
        </w:tc>
        <w:tc>
          <w:tcPr>
            <w:tcW w:w="11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ascii="宋体" w:cs="宋体"/>
                <w:kern w:val="0"/>
                <w:sz w:val="24"/>
                <w:szCs w:val="24"/>
              </w:rPr>
              <w:t>720</w:t>
            </w:r>
          </w:p>
        </w:tc>
        <w:tc>
          <w:tcPr>
            <w:tcW w:w="1448"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ascii="宋体" w:cs="宋体"/>
                <w:kern w:val="0"/>
                <w:sz w:val="24"/>
                <w:szCs w:val="24"/>
              </w:rPr>
              <w:t>35</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8</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余杭区</w:t>
            </w:r>
          </w:p>
        </w:tc>
        <w:tc>
          <w:tcPr>
            <w:tcW w:w="1569" w:type="dxa"/>
            <w:tcBorders>
              <w:top w:val="nil"/>
              <w:left w:val="nil"/>
              <w:bottom w:val="single" w:color="auto" w:sz="4" w:space="0"/>
              <w:right w:val="single" w:color="auto" w:sz="4" w:space="0"/>
            </w:tcBorders>
            <w:vAlign w:val="center"/>
          </w:tcPr>
          <w:p>
            <w:pPr>
              <w:spacing w:before="150" w:after="150"/>
              <w:jc w:val="center"/>
              <w:textAlignment w:val="center"/>
              <w:rPr>
                <w:rFonts w:ascii="宋体" w:hAnsi="宋体" w:cs="宋体"/>
                <w:sz w:val="24"/>
                <w:szCs w:val="24"/>
                <w:highlight w:val="yellow"/>
              </w:rPr>
            </w:pPr>
            <w:r>
              <w:rPr>
                <w:rFonts w:hint="eastAsia"/>
                <w:color w:val="000000"/>
                <w:highlight w:val="yellow"/>
              </w:rPr>
              <w:t>836</w:t>
            </w:r>
          </w:p>
        </w:tc>
        <w:tc>
          <w:tcPr>
            <w:tcW w:w="1126" w:type="dxa"/>
            <w:tcBorders>
              <w:top w:val="nil"/>
              <w:left w:val="nil"/>
              <w:bottom w:val="single" w:color="auto" w:sz="4" w:space="0"/>
              <w:right w:val="single" w:color="auto" w:sz="4" w:space="0"/>
            </w:tcBorders>
            <w:vAlign w:val="center"/>
          </w:tcPr>
          <w:p>
            <w:pPr>
              <w:spacing w:before="150" w:after="150"/>
              <w:jc w:val="center"/>
              <w:textAlignment w:val="center"/>
              <w:rPr>
                <w:rFonts w:ascii="宋体" w:hAnsi="宋体" w:cs="宋体"/>
                <w:sz w:val="24"/>
                <w:szCs w:val="24"/>
                <w:highlight w:val="yellow"/>
              </w:rPr>
            </w:pPr>
            <w:r>
              <w:rPr>
                <w:rFonts w:hint="eastAsia"/>
                <w:color w:val="000000"/>
                <w:highlight w:val="yellow"/>
              </w:rPr>
              <w:t>629</w:t>
            </w:r>
          </w:p>
        </w:tc>
        <w:tc>
          <w:tcPr>
            <w:tcW w:w="1126" w:type="dxa"/>
            <w:tcBorders>
              <w:top w:val="nil"/>
              <w:left w:val="nil"/>
              <w:bottom w:val="single" w:color="auto" w:sz="4" w:space="0"/>
              <w:right w:val="single" w:color="auto" w:sz="4" w:space="0"/>
            </w:tcBorders>
            <w:vAlign w:val="center"/>
          </w:tcPr>
          <w:p>
            <w:pPr>
              <w:spacing w:before="150" w:after="150"/>
              <w:jc w:val="center"/>
              <w:textAlignment w:val="center"/>
              <w:rPr>
                <w:rFonts w:ascii="宋体" w:hAnsi="宋体" w:cs="宋体"/>
                <w:sz w:val="24"/>
                <w:szCs w:val="24"/>
                <w:highlight w:val="yellow"/>
              </w:rPr>
            </w:pPr>
            <w:r>
              <w:rPr>
                <w:rFonts w:hint="eastAsia"/>
                <w:color w:val="000000"/>
                <w:highlight w:val="yellow"/>
              </w:rPr>
              <w:t>150</w:t>
            </w:r>
          </w:p>
        </w:tc>
        <w:tc>
          <w:tcPr>
            <w:tcW w:w="1180" w:type="dxa"/>
            <w:tcBorders>
              <w:top w:val="nil"/>
              <w:left w:val="nil"/>
              <w:bottom w:val="single" w:color="auto" w:sz="4" w:space="0"/>
              <w:right w:val="single" w:color="auto" w:sz="4" w:space="0"/>
            </w:tcBorders>
            <w:vAlign w:val="center"/>
          </w:tcPr>
          <w:p>
            <w:pPr>
              <w:spacing w:before="150" w:after="150"/>
              <w:jc w:val="center"/>
              <w:textAlignment w:val="center"/>
              <w:rPr>
                <w:rFonts w:ascii="宋体" w:hAnsi="宋体" w:cs="宋体"/>
                <w:sz w:val="24"/>
                <w:szCs w:val="24"/>
                <w:highlight w:val="yellow"/>
              </w:rPr>
            </w:pPr>
            <w:r>
              <w:rPr>
                <w:rFonts w:hint="eastAsia"/>
                <w:color w:val="000000"/>
                <w:highlight w:val="yellow"/>
              </w:rPr>
              <w:t>779</w:t>
            </w:r>
          </w:p>
        </w:tc>
        <w:tc>
          <w:tcPr>
            <w:tcW w:w="1448" w:type="dxa"/>
            <w:tcBorders>
              <w:top w:val="nil"/>
              <w:left w:val="nil"/>
              <w:bottom w:val="single" w:color="auto" w:sz="4" w:space="0"/>
              <w:right w:val="single" w:color="auto" w:sz="4" w:space="0"/>
            </w:tcBorders>
            <w:vAlign w:val="center"/>
          </w:tcPr>
          <w:p>
            <w:pPr>
              <w:spacing w:before="150" w:after="150"/>
              <w:jc w:val="center"/>
              <w:textAlignment w:val="center"/>
              <w:rPr>
                <w:rFonts w:ascii="宋体" w:hAnsi="宋体" w:cs="宋体"/>
                <w:sz w:val="24"/>
                <w:szCs w:val="24"/>
                <w:highlight w:val="yellow"/>
              </w:rPr>
            </w:pPr>
            <w:r>
              <w:rPr>
                <w:rFonts w:hint="eastAsia"/>
                <w:color w:val="000000"/>
                <w:highlight w:val="yellow"/>
              </w:rPr>
              <w:t>87</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9</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桐庐县</w:t>
            </w:r>
          </w:p>
        </w:tc>
        <w:tc>
          <w:tcPr>
            <w:tcW w:w="1569"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ascii="宋体" w:cs="宋体"/>
                <w:kern w:val="0"/>
                <w:sz w:val="24"/>
                <w:szCs w:val="24"/>
                <w:highlight w:val="yellow"/>
              </w:rPr>
              <w:t>789</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ascii="宋体" w:cs="宋体"/>
                <w:kern w:val="0"/>
                <w:sz w:val="24"/>
                <w:szCs w:val="24"/>
                <w:highlight w:val="yellow"/>
              </w:rPr>
              <w:t>673</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ascii="宋体" w:cs="宋体"/>
                <w:kern w:val="0"/>
                <w:sz w:val="24"/>
                <w:szCs w:val="24"/>
                <w:highlight w:val="yellow"/>
              </w:rPr>
              <w:t>71</w:t>
            </w:r>
          </w:p>
        </w:tc>
        <w:tc>
          <w:tcPr>
            <w:tcW w:w="11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ascii="宋体" w:cs="宋体"/>
                <w:kern w:val="0"/>
                <w:sz w:val="24"/>
                <w:szCs w:val="24"/>
                <w:highlight w:val="yellow"/>
              </w:rPr>
              <w:t>744</w:t>
            </w:r>
          </w:p>
        </w:tc>
        <w:tc>
          <w:tcPr>
            <w:tcW w:w="1448"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ascii="宋体" w:cs="宋体"/>
                <w:kern w:val="0"/>
                <w:sz w:val="24"/>
                <w:szCs w:val="24"/>
                <w:highlight w:val="yellow"/>
              </w:rPr>
              <w:t>107</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10</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淳安县</w:t>
            </w:r>
          </w:p>
        </w:tc>
        <w:tc>
          <w:tcPr>
            <w:tcW w:w="1569"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ascii="宋体" w:cs="宋体"/>
                <w:kern w:val="0"/>
                <w:sz w:val="24"/>
                <w:szCs w:val="24"/>
              </w:rPr>
              <w:t>765</w:t>
            </w:r>
          </w:p>
        </w:tc>
        <w:tc>
          <w:tcPr>
            <w:tcW w:w="1126" w:type="dxa"/>
            <w:vAlign w:val="center"/>
          </w:tcPr>
          <w:p>
            <w:pPr>
              <w:widowControl/>
              <w:jc w:val="center"/>
              <w:rPr>
                <w:rFonts w:ascii="宋体" w:cs="宋体"/>
                <w:kern w:val="0"/>
                <w:sz w:val="24"/>
                <w:szCs w:val="24"/>
              </w:rPr>
            </w:pPr>
            <w:r>
              <w:rPr>
                <w:rFonts w:ascii="宋体" w:cs="宋体"/>
                <w:kern w:val="0"/>
                <w:sz w:val="24"/>
                <w:szCs w:val="24"/>
              </w:rPr>
              <w:t>649</w:t>
            </w:r>
          </w:p>
        </w:tc>
        <w:tc>
          <w:tcPr>
            <w:tcW w:w="1126"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ascii="宋体" w:cs="宋体"/>
                <w:kern w:val="0"/>
                <w:sz w:val="24"/>
                <w:szCs w:val="24"/>
              </w:rPr>
              <w:t>87</w:t>
            </w:r>
          </w:p>
        </w:tc>
        <w:tc>
          <w:tcPr>
            <w:tcW w:w="11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ascii="宋体" w:cs="宋体"/>
                <w:kern w:val="0"/>
                <w:sz w:val="24"/>
                <w:szCs w:val="24"/>
              </w:rPr>
              <w:t>736</w:t>
            </w:r>
          </w:p>
        </w:tc>
        <w:tc>
          <w:tcPr>
            <w:tcW w:w="1448"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ascii="宋体" w:cs="宋体"/>
                <w:kern w:val="0"/>
                <w:sz w:val="24"/>
                <w:szCs w:val="24"/>
              </w:rPr>
              <w:t>56</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11</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建德市</w:t>
            </w:r>
          </w:p>
        </w:tc>
        <w:tc>
          <w:tcPr>
            <w:tcW w:w="1569" w:type="dxa"/>
            <w:tcBorders>
              <w:top w:val="nil"/>
              <w:left w:val="nil"/>
              <w:bottom w:val="single" w:color="auto" w:sz="4" w:space="0"/>
              <w:right w:val="single" w:color="auto" w:sz="4" w:space="0"/>
            </w:tcBorders>
            <w:vAlign w:val="center"/>
          </w:tcPr>
          <w:p>
            <w:pPr>
              <w:widowControl/>
              <w:jc w:val="center"/>
              <w:textAlignment w:val="center"/>
              <w:rPr>
                <w:rFonts w:ascii="宋体" w:cs="宋体"/>
                <w:sz w:val="24"/>
                <w:szCs w:val="24"/>
              </w:rPr>
            </w:pPr>
            <w:r>
              <w:rPr>
                <w:rFonts w:hint="eastAsia" w:ascii="宋体" w:hAnsi="宋体" w:cs="宋体"/>
                <w:kern w:val="0"/>
                <w:sz w:val="24"/>
                <w:szCs w:val="24"/>
              </w:rPr>
              <w:t>749</w:t>
            </w:r>
          </w:p>
        </w:tc>
        <w:tc>
          <w:tcPr>
            <w:tcW w:w="1126"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4"/>
                <w:szCs w:val="24"/>
              </w:rPr>
            </w:pPr>
            <w:r>
              <w:rPr>
                <w:rFonts w:hint="eastAsia" w:ascii="宋体" w:hAnsi="宋体" w:cs="宋体"/>
                <w:kern w:val="0"/>
                <w:sz w:val="24"/>
                <w:szCs w:val="24"/>
              </w:rPr>
              <w:t>607　</w:t>
            </w:r>
          </w:p>
        </w:tc>
        <w:tc>
          <w:tcPr>
            <w:tcW w:w="1126" w:type="dxa"/>
            <w:tcBorders>
              <w:top w:val="nil"/>
              <w:left w:val="nil"/>
              <w:bottom w:val="single" w:color="auto" w:sz="4" w:space="0"/>
              <w:right w:val="single" w:color="auto" w:sz="4" w:space="0"/>
            </w:tcBorders>
            <w:vAlign w:val="center"/>
          </w:tcPr>
          <w:p>
            <w:pPr>
              <w:widowControl/>
              <w:jc w:val="center"/>
              <w:textAlignment w:val="center"/>
              <w:rPr>
                <w:rFonts w:ascii="宋体" w:cs="宋体"/>
                <w:sz w:val="24"/>
                <w:szCs w:val="24"/>
              </w:rPr>
            </w:pPr>
            <w:r>
              <w:rPr>
                <w:rFonts w:hint="eastAsia" w:ascii="宋体" w:hAnsi="宋体" w:cs="宋体"/>
                <w:kern w:val="0"/>
                <w:sz w:val="24"/>
                <w:szCs w:val="24"/>
              </w:rPr>
              <w:t>　117</w:t>
            </w:r>
          </w:p>
        </w:tc>
        <w:tc>
          <w:tcPr>
            <w:tcW w:w="1180" w:type="dxa"/>
            <w:tcBorders>
              <w:top w:val="nil"/>
              <w:left w:val="nil"/>
              <w:bottom w:val="single" w:color="auto" w:sz="4" w:space="0"/>
              <w:right w:val="single" w:color="auto" w:sz="4" w:space="0"/>
            </w:tcBorders>
            <w:vAlign w:val="center"/>
          </w:tcPr>
          <w:p>
            <w:pPr>
              <w:widowControl/>
              <w:jc w:val="center"/>
              <w:textAlignment w:val="center"/>
              <w:rPr>
                <w:rFonts w:ascii="宋体" w:cs="宋体"/>
                <w:sz w:val="24"/>
                <w:szCs w:val="24"/>
              </w:rPr>
            </w:pPr>
            <w:r>
              <w:rPr>
                <w:rFonts w:hint="eastAsia" w:ascii="宋体" w:hAnsi="宋体" w:cs="宋体"/>
                <w:kern w:val="0"/>
                <w:sz w:val="24"/>
                <w:szCs w:val="24"/>
              </w:rPr>
              <w:t>724　</w:t>
            </w:r>
          </w:p>
        </w:tc>
        <w:tc>
          <w:tcPr>
            <w:tcW w:w="1448" w:type="dxa"/>
            <w:tcBorders>
              <w:top w:val="nil"/>
              <w:left w:val="nil"/>
              <w:bottom w:val="single" w:color="auto" w:sz="4" w:space="0"/>
              <w:right w:val="single" w:color="auto" w:sz="4" w:space="0"/>
            </w:tcBorders>
            <w:vAlign w:val="center"/>
          </w:tcPr>
          <w:p>
            <w:pPr>
              <w:widowControl/>
              <w:jc w:val="center"/>
              <w:textAlignment w:val="center"/>
              <w:rPr>
                <w:rFonts w:ascii="宋体" w:cs="宋体"/>
                <w:sz w:val="24"/>
                <w:szCs w:val="24"/>
              </w:rPr>
            </w:pPr>
            <w:r>
              <w:rPr>
                <w:rFonts w:hint="eastAsia" w:ascii="宋体" w:hAnsi="宋体" w:cs="宋体"/>
                <w:kern w:val="0"/>
                <w:sz w:val="24"/>
                <w:szCs w:val="24"/>
              </w:rPr>
              <w:t>82</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12</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富阳区</w:t>
            </w:r>
          </w:p>
        </w:tc>
        <w:tc>
          <w:tcPr>
            <w:tcW w:w="1569"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hint="eastAsia" w:ascii="宋体" w:cs="宋体"/>
                <w:kern w:val="0"/>
                <w:sz w:val="24"/>
                <w:szCs w:val="24"/>
                <w:highlight w:val="yellow"/>
              </w:rPr>
              <w:t>891</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hint="eastAsia" w:ascii="宋体" w:cs="宋体"/>
                <w:kern w:val="0"/>
                <w:sz w:val="24"/>
                <w:szCs w:val="24"/>
                <w:highlight w:val="yellow"/>
              </w:rPr>
              <w:t>736</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hint="eastAsia" w:ascii="宋体" w:cs="宋体"/>
                <w:kern w:val="0"/>
                <w:sz w:val="24"/>
                <w:szCs w:val="24"/>
                <w:highlight w:val="yellow"/>
              </w:rPr>
              <w:t>117</w:t>
            </w:r>
          </w:p>
        </w:tc>
        <w:tc>
          <w:tcPr>
            <w:tcW w:w="11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hint="eastAsia" w:ascii="宋体" w:cs="宋体"/>
                <w:kern w:val="0"/>
                <w:sz w:val="24"/>
                <w:szCs w:val="24"/>
                <w:highlight w:val="yellow"/>
              </w:rPr>
              <w:t>853</w:t>
            </w:r>
          </w:p>
        </w:tc>
        <w:tc>
          <w:tcPr>
            <w:tcW w:w="1448" w:type="dxa"/>
            <w:tcBorders>
              <w:top w:val="nil"/>
              <w:left w:val="nil"/>
              <w:bottom w:val="single" w:color="auto" w:sz="4" w:space="0"/>
              <w:right w:val="single" w:color="auto" w:sz="4" w:space="0"/>
            </w:tcBorders>
            <w:vAlign w:val="center"/>
          </w:tcPr>
          <w:p>
            <w:pPr>
              <w:widowControl/>
              <w:jc w:val="center"/>
              <w:rPr>
                <w:rFonts w:ascii="宋体" w:cs="宋体"/>
                <w:kern w:val="0"/>
                <w:sz w:val="24"/>
                <w:szCs w:val="24"/>
                <w:highlight w:val="yellow"/>
              </w:rPr>
            </w:pPr>
            <w:r>
              <w:rPr>
                <w:rFonts w:hint="eastAsia" w:ascii="宋体" w:cs="宋体"/>
                <w:kern w:val="0"/>
                <w:sz w:val="24"/>
                <w:szCs w:val="24"/>
                <w:highlight w:val="yellow"/>
              </w:rPr>
              <w:t>52</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13</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临安市</w:t>
            </w:r>
          </w:p>
        </w:tc>
        <w:tc>
          <w:tcPr>
            <w:tcW w:w="1569"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735</w:t>
            </w:r>
          </w:p>
        </w:tc>
        <w:tc>
          <w:tcPr>
            <w:tcW w:w="1126"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638</w:t>
            </w:r>
          </w:p>
        </w:tc>
        <w:tc>
          <w:tcPr>
            <w:tcW w:w="1126"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81</w:t>
            </w:r>
          </w:p>
        </w:tc>
        <w:tc>
          <w:tcPr>
            <w:tcW w:w="1180"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719</w:t>
            </w:r>
          </w:p>
        </w:tc>
        <w:tc>
          <w:tcPr>
            <w:tcW w:w="1448" w:type="dxa"/>
            <w:tcBorders>
              <w:top w:val="nil"/>
              <w:left w:val="nil"/>
              <w:bottom w:val="single" w:color="auto" w:sz="4" w:space="0"/>
              <w:right w:val="single" w:color="auto" w:sz="4" w:space="0"/>
            </w:tcBorders>
            <w:vAlign w:val="center"/>
          </w:tcPr>
          <w:p>
            <w:pPr>
              <w:widowControl/>
              <w:jc w:val="center"/>
              <w:rPr>
                <w:rFonts w:hint="eastAsia" w:ascii="宋体" w:cs="宋体"/>
                <w:kern w:val="0"/>
                <w:sz w:val="24"/>
                <w:szCs w:val="24"/>
              </w:rPr>
            </w:pPr>
            <w:r>
              <w:rPr>
                <w:rFonts w:hint="eastAsia" w:ascii="宋体" w:cs="宋体"/>
                <w:kern w:val="0"/>
                <w:sz w:val="24"/>
                <w:szCs w:val="24"/>
              </w:rPr>
              <w:t>103</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14</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经开区</w:t>
            </w:r>
          </w:p>
        </w:tc>
        <w:tc>
          <w:tcPr>
            <w:tcW w:w="1569" w:type="dxa"/>
            <w:tcBorders>
              <w:top w:val="nil"/>
              <w:left w:val="nil"/>
              <w:bottom w:val="single" w:color="auto" w:sz="4" w:space="0"/>
              <w:right w:val="single" w:color="auto" w:sz="4" w:space="0"/>
            </w:tcBorders>
            <w:vAlign w:val="center"/>
          </w:tcPr>
          <w:p>
            <w:pPr>
              <w:jc w:val="center"/>
              <w:rPr>
                <w:rFonts w:ascii="宋体" w:cs="宋体"/>
                <w:color w:val="000000"/>
                <w:sz w:val="24"/>
                <w:szCs w:val="24"/>
              </w:rPr>
            </w:pPr>
            <w:r>
              <w:rPr>
                <w:rFonts w:ascii="宋体" w:hAnsi="宋体" w:cs="宋体"/>
                <w:color w:val="000000"/>
                <w:sz w:val="24"/>
                <w:szCs w:val="24"/>
              </w:rPr>
              <w:t>462</w:t>
            </w:r>
          </w:p>
        </w:tc>
        <w:tc>
          <w:tcPr>
            <w:tcW w:w="1126" w:type="dxa"/>
            <w:tcBorders>
              <w:top w:val="nil"/>
              <w:left w:val="nil"/>
              <w:bottom w:val="single" w:color="auto" w:sz="4" w:space="0"/>
              <w:right w:val="single" w:color="auto" w:sz="4" w:space="0"/>
            </w:tcBorders>
            <w:vAlign w:val="center"/>
          </w:tcPr>
          <w:p>
            <w:pPr>
              <w:jc w:val="center"/>
              <w:rPr>
                <w:rFonts w:ascii="宋体" w:cs="宋体"/>
                <w:color w:val="000000"/>
                <w:sz w:val="24"/>
                <w:szCs w:val="24"/>
              </w:rPr>
            </w:pPr>
            <w:r>
              <w:rPr>
                <w:rFonts w:ascii="宋体" w:hAnsi="宋体" w:cs="宋体"/>
                <w:color w:val="000000"/>
                <w:sz w:val="24"/>
                <w:szCs w:val="24"/>
              </w:rPr>
              <w:t>430</w:t>
            </w:r>
          </w:p>
        </w:tc>
        <w:tc>
          <w:tcPr>
            <w:tcW w:w="1126" w:type="dxa"/>
            <w:tcBorders>
              <w:top w:val="nil"/>
              <w:left w:val="nil"/>
              <w:bottom w:val="single" w:color="auto" w:sz="4" w:space="0"/>
              <w:right w:val="single" w:color="auto" w:sz="4" w:space="0"/>
            </w:tcBorders>
            <w:vAlign w:val="center"/>
          </w:tcPr>
          <w:p>
            <w:pPr>
              <w:jc w:val="center"/>
              <w:rPr>
                <w:rFonts w:ascii="宋体" w:cs="宋体"/>
                <w:color w:val="000000"/>
                <w:sz w:val="24"/>
                <w:szCs w:val="24"/>
              </w:rPr>
            </w:pPr>
            <w:r>
              <w:rPr>
                <w:rFonts w:ascii="宋体" w:hAnsi="宋体" w:cs="宋体"/>
                <w:color w:val="000000"/>
                <w:sz w:val="24"/>
                <w:szCs w:val="24"/>
              </w:rPr>
              <w:t>22</w:t>
            </w:r>
          </w:p>
        </w:tc>
        <w:tc>
          <w:tcPr>
            <w:tcW w:w="1180" w:type="dxa"/>
            <w:tcBorders>
              <w:top w:val="nil"/>
              <w:left w:val="nil"/>
              <w:bottom w:val="single" w:color="auto" w:sz="4" w:space="0"/>
              <w:right w:val="single" w:color="auto" w:sz="4" w:space="0"/>
            </w:tcBorders>
            <w:vAlign w:val="center"/>
          </w:tcPr>
          <w:p>
            <w:pPr>
              <w:jc w:val="center"/>
              <w:rPr>
                <w:rFonts w:ascii="宋体" w:cs="宋体"/>
                <w:color w:val="000000"/>
                <w:sz w:val="24"/>
                <w:szCs w:val="24"/>
              </w:rPr>
            </w:pPr>
            <w:r>
              <w:rPr>
                <w:rFonts w:ascii="宋体" w:hAnsi="宋体" w:cs="宋体"/>
                <w:color w:val="000000"/>
                <w:sz w:val="24"/>
                <w:szCs w:val="24"/>
              </w:rPr>
              <w:t>452</w:t>
            </w:r>
          </w:p>
        </w:tc>
        <w:tc>
          <w:tcPr>
            <w:tcW w:w="1448" w:type="dxa"/>
            <w:tcBorders>
              <w:top w:val="nil"/>
              <w:left w:val="nil"/>
              <w:bottom w:val="single" w:color="auto" w:sz="4" w:space="0"/>
              <w:right w:val="single" w:color="auto" w:sz="4" w:space="0"/>
            </w:tcBorders>
            <w:vAlign w:val="center"/>
          </w:tcPr>
          <w:p>
            <w:pPr>
              <w:jc w:val="center"/>
              <w:rPr>
                <w:rFonts w:ascii="宋体" w:cs="宋体"/>
                <w:color w:val="000000"/>
                <w:sz w:val="24"/>
                <w:szCs w:val="24"/>
              </w:rPr>
            </w:pPr>
            <w:r>
              <w:rPr>
                <w:rFonts w:ascii="宋体" w:hAnsi="宋体" w:cs="宋体"/>
                <w:color w:val="000000"/>
                <w:sz w:val="24"/>
                <w:szCs w:val="24"/>
              </w:rPr>
              <w:t>16</w:t>
            </w:r>
          </w:p>
        </w:tc>
      </w:tr>
      <w:tr>
        <w:tblPrEx>
          <w:tblLayout w:type="fixed"/>
          <w:tblCellMar>
            <w:top w:w="0" w:type="dxa"/>
            <w:left w:w="108" w:type="dxa"/>
            <w:bottom w:w="0" w:type="dxa"/>
            <w:right w:w="108" w:type="dxa"/>
          </w:tblCellMar>
        </w:tblPrEx>
        <w:trPr>
          <w:trHeight w:val="500" w:hRule="atLeast"/>
          <w:jc w:val="center"/>
        </w:trPr>
        <w:tc>
          <w:tcPr>
            <w:tcW w:w="67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15</w:t>
            </w:r>
          </w:p>
        </w:tc>
        <w:tc>
          <w:tcPr>
            <w:tcW w:w="22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大江东</w:t>
            </w:r>
          </w:p>
        </w:tc>
        <w:tc>
          <w:tcPr>
            <w:tcW w:w="1569"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cs="宋体"/>
                <w:kern w:val="0"/>
                <w:sz w:val="24"/>
                <w:szCs w:val="24"/>
              </w:rPr>
              <w:t>537</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cs="宋体"/>
                <w:kern w:val="0"/>
                <w:sz w:val="24"/>
                <w:szCs w:val="24"/>
              </w:rPr>
              <w:t>479</w:t>
            </w: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cs="宋体"/>
                <w:kern w:val="0"/>
                <w:sz w:val="24"/>
                <w:szCs w:val="24"/>
              </w:rPr>
              <w:t>19</w:t>
            </w:r>
          </w:p>
        </w:tc>
        <w:tc>
          <w:tcPr>
            <w:tcW w:w="11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cs="宋体"/>
                <w:kern w:val="0"/>
                <w:sz w:val="24"/>
                <w:szCs w:val="24"/>
              </w:rPr>
              <w:t>498</w:t>
            </w:r>
          </w:p>
        </w:tc>
        <w:tc>
          <w:tcPr>
            <w:tcW w:w="1448"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cs="宋体"/>
                <w:kern w:val="0"/>
                <w:sz w:val="24"/>
                <w:szCs w:val="24"/>
              </w:rPr>
              <w:t>13</w:t>
            </w:r>
          </w:p>
        </w:tc>
      </w:tr>
      <w:tr>
        <w:tblPrEx>
          <w:tblLayout w:type="fixed"/>
          <w:tblCellMar>
            <w:top w:w="0" w:type="dxa"/>
            <w:left w:w="108" w:type="dxa"/>
            <w:bottom w:w="0" w:type="dxa"/>
            <w:right w:w="108" w:type="dxa"/>
          </w:tblCellMar>
        </w:tblPrEx>
        <w:trPr>
          <w:trHeight w:val="500" w:hRule="atLeast"/>
          <w:jc w:val="center"/>
        </w:trPr>
        <w:tc>
          <w:tcPr>
            <w:tcW w:w="295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总计</w:t>
            </w:r>
          </w:p>
        </w:tc>
        <w:tc>
          <w:tcPr>
            <w:tcW w:w="1569"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p>
        </w:tc>
        <w:tc>
          <w:tcPr>
            <w:tcW w:w="1126"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p>
        </w:tc>
        <w:tc>
          <w:tcPr>
            <w:tcW w:w="1180"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p>
        </w:tc>
        <w:tc>
          <w:tcPr>
            <w:tcW w:w="1448" w:type="dxa"/>
            <w:tcBorders>
              <w:top w:val="nil"/>
              <w:left w:val="nil"/>
              <w:bottom w:val="single" w:color="auto" w:sz="4" w:space="0"/>
              <w:right w:val="single" w:color="auto" w:sz="4" w:space="0"/>
            </w:tcBorders>
            <w:vAlign w:val="center"/>
          </w:tcPr>
          <w:p>
            <w:pPr>
              <w:widowControl/>
              <w:jc w:val="center"/>
              <w:rPr>
                <w:rFonts w:ascii="宋体" w:cs="宋体"/>
                <w:kern w:val="0"/>
                <w:sz w:val="24"/>
                <w:szCs w:val="24"/>
              </w:rPr>
            </w:pPr>
          </w:p>
        </w:tc>
      </w:tr>
    </w:tbl>
    <w:p>
      <w:pPr>
        <w:rPr>
          <w:rFonts w:hint="eastAsia" w:ascii="宋体" w:cs="黑体"/>
          <w:sz w:val="24"/>
          <w:szCs w:val="24"/>
        </w:rPr>
      </w:pPr>
      <w:r>
        <w:rPr>
          <w:rFonts w:hint="eastAsia" w:ascii="宋体" w:hAnsi="宋体" w:cs="宋体"/>
          <w:kern w:val="0"/>
          <w:sz w:val="24"/>
          <w:szCs w:val="24"/>
        </w:rPr>
        <w:t>填报人员：          联系电话：         填报时间：2017.9.30</w:t>
      </w:r>
    </w:p>
    <w:p>
      <w:pPr>
        <w:numPr>
          <w:ilvl w:val="0"/>
          <w:numId w:val="0"/>
        </w:numPr>
        <w:jc w:val="both"/>
        <w:rPr>
          <w:rFonts w:hint="eastAsia"/>
          <w:b/>
          <w:bCs/>
          <w:sz w:val="44"/>
          <w:szCs w:val="44"/>
          <w:lang w:val="en-US" w:eastAsia="zh-CN"/>
        </w:rPr>
      </w:pPr>
      <w:r>
        <w:rPr>
          <w:rFonts w:hint="eastAsia"/>
          <w:b/>
          <w:bCs/>
          <w:sz w:val="30"/>
          <w:szCs w:val="30"/>
          <w:lang w:val="en-US" w:eastAsia="zh-CN"/>
        </w:rPr>
        <w:t>二、经核各系统指导目录及政务网调整情况，发现存在省、市指导目录事项数不一致、市指导目录事项数与政务服务网上事项数不一致等问题，请下列系统部门请再次梳理系统指导目录或督促各地对口部门做好政务网的调整工作。</w:t>
      </w:r>
    </w:p>
    <w:tbl>
      <w:tblPr>
        <w:tblStyle w:val="3"/>
        <w:tblW w:w="8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1080"/>
        <w:gridCol w:w="1980"/>
        <w:gridCol w:w="2130"/>
        <w:gridCol w:w="3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市发改</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jc w:val="center"/>
              <w:rPr>
                <w:rFonts w:hint="eastAsia" w:ascii="宋体" w:hAnsi="宋体" w:eastAsia="宋体" w:cs="宋体"/>
                <w:i w:val="0"/>
                <w:color w:val="000000"/>
                <w:sz w:val="24"/>
                <w:szCs w:val="24"/>
                <w:u w:val="none"/>
              </w:rPr>
            </w:pPr>
          </w:p>
        </w:tc>
        <w:tc>
          <w:tcPr>
            <w:tcW w:w="3015" w:type="dxa"/>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jc w:val="center"/>
              <w:rPr>
                <w:rFonts w:hint="eastAsia" w:ascii="宋体" w:hAnsi="宋体" w:eastAsia="宋体" w:cs="宋体"/>
                <w:i w:val="0"/>
                <w:color w:val="000000"/>
                <w:sz w:val="24"/>
                <w:szCs w:val="24"/>
                <w:u w:val="none"/>
              </w:rPr>
            </w:pP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5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jc w:val="center"/>
              <w:rPr>
                <w:rFonts w:hint="eastAsia" w:ascii="宋体" w:hAnsi="宋体" w:eastAsia="宋体" w:cs="宋体"/>
                <w:i w:val="0"/>
                <w:color w:val="000000"/>
                <w:sz w:val="24"/>
                <w:szCs w:val="24"/>
                <w:u w:val="none"/>
              </w:rPr>
            </w:pP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各区、县（市）相应对口部门并未全部勾选，事项数不一致。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市经信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jc w:val="center"/>
              <w:rPr>
                <w:rFonts w:hint="eastAsia" w:ascii="宋体" w:hAnsi="宋体" w:eastAsia="宋体" w:cs="宋体"/>
                <w:i w:val="0"/>
                <w:color w:val="000000"/>
                <w:sz w:val="24"/>
                <w:szCs w:val="24"/>
                <w:u w:val="none"/>
              </w:rPr>
            </w:pPr>
          </w:p>
        </w:tc>
        <w:tc>
          <w:tcPr>
            <w:tcW w:w="3015" w:type="dxa"/>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jc w:val="center"/>
              <w:rPr>
                <w:rFonts w:hint="eastAsia" w:ascii="宋体" w:hAnsi="宋体" w:eastAsia="宋体" w:cs="宋体"/>
                <w:i w:val="0"/>
                <w:color w:val="000000"/>
                <w:sz w:val="24"/>
                <w:szCs w:val="24"/>
                <w:u w:val="none"/>
              </w:rPr>
            </w:pP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5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jc w:val="center"/>
              <w:rPr>
                <w:rFonts w:hint="eastAsia" w:ascii="宋体" w:hAnsi="宋体" w:eastAsia="宋体" w:cs="宋体"/>
                <w:i w:val="0"/>
                <w:color w:val="000000"/>
                <w:sz w:val="24"/>
                <w:szCs w:val="24"/>
                <w:u w:val="none"/>
              </w:rPr>
            </w:pP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各区、县（市）相应对口部门并未全部勾选，事项数不一致。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教育系统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六城区13、其余区县市16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140"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六城区均为14、其余区县市分别为：萧山17、余杭24、临安17、桐庐17、淳安、17、建德18、富阳39.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科委系统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与省、市指导目录不一致</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上城3、下城4、江干1、拱墅3、西湖3。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民宗系统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jc w:val="center"/>
              <w:rPr>
                <w:rFonts w:hint="eastAsia" w:ascii="宋体" w:hAnsi="宋体" w:eastAsia="宋体" w:cs="宋体"/>
                <w:i w:val="0"/>
                <w:color w:val="000000"/>
                <w:sz w:val="24"/>
                <w:szCs w:val="24"/>
                <w:u w:val="none"/>
              </w:rPr>
            </w:pPr>
          </w:p>
        </w:tc>
        <w:tc>
          <w:tcPr>
            <w:tcW w:w="3015" w:type="dxa"/>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5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各区县市不统一，上城11、下城11、江干9、拱墅9、西湖9.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公安系统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79</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66</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42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与市指导目录</w:t>
            </w:r>
          </w:p>
          <w:p>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不一致</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各区县市不统一，1、六城区：上城52、下城49、江干53、拱墅49、西湖49、滨江47 ；2、其余区县市：萧山72、余杭71、淳安76.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民政系统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51</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51</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六城区70、其余区县市72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710"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各区县市不统一，1、六城区：上城67、下城76、江干67、拱墅85、西湖76、滨江73 ；2、其余区县市：萧山70、余杭65、富阳70、桐庐97.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国土系统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六城区8、其余区县市14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1、六城区均为8，2、其余区县市不统一。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住保系统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jc w:val="center"/>
              <w:rPr>
                <w:rFonts w:hint="eastAsia" w:ascii="宋体" w:hAnsi="宋体" w:eastAsia="宋体" w:cs="宋体"/>
                <w:i w:val="0"/>
                <w:color w:val="000000"/>
                <w:sz w:val="24"/>
                <w:szCs w:val="24"/>
                <w:u w:val="none"/>
              </w:rPr>
            </w:pPr>
          </w:p>
        </w:tc>
        <w:tc>
          <w:tcPr>
            <w:tcW w:w="3015" w:type="dxa"/>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w:t>
            </w:r>
          </w:p>
        </w:tc>
        <w:tc>
          <w:tcPr>
            <w:tcW w:w="3015" w:type="dxa"/>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规划系统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5145" w:type="dxa"/>
            <w:gridSpan w:val="2"/>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各区县市政务网上的事项数均未按照市规划系统指导目录调整到位，事项数均不一致。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5145" w:type="dxa"/>
            <w:gridSpan w:val="2"/>
            <w:vMerge w:val="continue"/>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5145" w:type="dxa"/>
            <w:gridSpan w:val="2"/>
            <w:vMerge w:val="continue"/>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交通运输系统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55</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56</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4区3县市52（其中：县市为24）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5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65</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六城区以外其余区县市均不统一。（要求6城区以外区县市事项数均为24）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农业系统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各区县市不统一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林水系统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林业省指导目录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要求：林业与水利事项均要勾选</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要求：林业与水利事项均要勾选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水利省指导目录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要求：林业与水利事项均要勾选</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要求：林业与水利事项均要勾选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商务委</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系统</w:t>
            </w:r>
          </w:p>
        </w:tc>
        <w:tc>
          <w:tcPr>
            <w:tcW w:w="7125" w:type="dxa"/>
            <w:gridSpan w:val="3"/>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9月底反馈说目录无变化，经检查，政务网事项情况与省指导目录不一致。请梳理市级系统指导目录。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7125" w:type="dxa"/>
            <w:gridSpan w:val="3"/>
            <w:vMerge w:val="continue"/>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7125" w:type="dxa"/>
            <w:gridSpan w:val="3"/>
            <w:vMerge w:val="continue"/>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卫生计生系统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jc w:val="center"/>
              <w:rPr>
                <w:rFonts w:hint="eastAsia" w:ascii="宋体" w:hAnsi="宋体" w:eastAsia="宋体" w:cs="宋体"/>
                <w:i w:val="0"/>
                <w:color w:val="000000"/>
                <w:sz w:val="24"/>
                <w:szCs w:val="24"/>
                <w:u w:val="none"/>
              </w:rPr>
            </w:pPr>
          </w:p>
        </w:tc>
        <w:tc>
          <w:tcPr>
            <w:tcW w:w="3015" w:type="dxa"/>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jc w:val="center"/>
              <w:rPr>
                <w:rFonts w:hint="eastAsia" w:ascii="宋体" w:hAnsi="宋体" w:eastAsia="宋体" w:cs="宋体"/>
                <w:i w:val="0"/>
                <w:color w:val="000000"/>
                <w:sz w:val="24"/>
                <w:szCs w:val="24"/>
                <w:u w:val="none"/>
              </w:rPr>
            </w:pPr>
          </w:p>
        </w:tc>
        <w:tc>
          <w:tcPr>
            <w:tcW w:w="3015" w:type="dxa"/>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5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各区县市不统一，如：上城16、下城16、江干16、拱墅17、西湖15。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环保系统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安监系统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区13、县18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140"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各区县市不统一，如：上城10、下城10、江干10、拱墅11、西湖10、滨江11、萧山13、桐庐14。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外侨系统</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5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（市本级单位名称要修改）</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各区县市不统一，如江干、西湖没有勾选外侨事项。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shd w:val="clear" w:color="auto" w:fill="FFFF00"/>
            <w:vAlign w:val="center"/>
          </w:tcPr>
          <w:p>
            <w:pPr>
              <w:jc w:val="center"/>
              <w:rPr>
                <w:rFonts w:hint="eastAsia" w:ascii="宋体" w:hAnsi="宋体" w:eastAsia="宋体" w:cs="宋体"/>
                <w:i w:val="0"/>
                <w:color w:val="000000"/>
                <w:sz w:val="24"/>
                <w:szCs w:val="24"/>
                <w:u w:val="none"/>
              </w:rPr>
            </w:pPr>
          </w:p>
        </w:tc>
        <w:tc>
          <w:tcPr>
            <w:tcW w:w="1980" w:type="dxa"/>
            <w:shd w:val="clear" w:color="auto" w:fill="FFFF00"/>
            <w:vAlign w:val="center"/>
          </w:tcPr>
          <w:p>
            <w:pPr>
              <w:jc w:val="center"/>
              <w:rPr>
                <w:rFonts w:hint="eastAsia" w:ascii="宋体" w:hAnsi="宋体" w:eastAsia="宋体" w:cs="宋体"/>
                <w:i w:val="0"/>
                <w:color w:val="000000"/>
                <w:sz w:val="24"/>
                <w:szCs w:val="24"/>
                <w:u w:val="none"/>
              </w:rPr>
            </w:pPr>
          </w:p>
        </w:tc>
        <w:tc>
          <w:tcPr>
            <w:tcW w:w="2130"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市本级事项数</w:t>
            </w:r>
          </w:p>
        </w:tc>
        <w:tc>
          <w:tcPr>
            <w:tcW w:w="3015" w:type="dxa"/>
            <w:shd w:val="clear" w:color="auto" w:fill="FFFF0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区县市事项数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公积金</w:t>
            </w: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3015" w:type="dxa"/>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市指导目录</w:t>
            </w:r>
          </w:p>
        </w:tc>
        <w:tc>
          <w:tcPr>
            <w:tcW w:w="213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3015" w:type="dxa"/>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trPr>
        <w:tc>
          <w:tcPr>
            <w:tcW w:w="1080" w:type="dxa"/>
            <w:vMerge w:val="continue"/>
            <w:shd w:val="clear" w:color="auto" w:fill="auto"/>
            <w:vAlign w:val="center"/>
          </w:tcPr>
          <w:p>
            <w:pPr>
              <w:jc w:val="center"/>
              <w:rPr>
                <w:rFonts w:hint="eastAsia" w:ascii="宋体" w:hAnsi="宋体" w:eastAsia="宋体" w:cs="宋体"/>
                <w:i w:val="0"/>
                <w:color w:val="000000"/>
                <w:sz w:val="24"/>
                <w:szCs w:val="24"/>
                <w:u w:val="none"/>
              </w:rPr>
            </w:pPr>
          </w:p>
        </w:tc>
        <w:tc>
          <w:tcPr>
            <w:tcW w:w="198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政务网上“最多跑一次”事项情况</w:t>
            </w:r>
          </w:p>
        </w:tc>
        <w:tc>
          <w:tcPr>
            <w:tcW w:w="2130" w:type="dxa"/>
            <w:shd w:val="clear" w:color="auto" w:fill="auto"/>
            <w:vAlign w:val="center"/>
          </w:tcPr>
          <w:p>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不一致</w:t>
            </w:r>
          </w:p>
        </w:tc>
        <w:tc>
          <w:tcPr>
            <w:tcW w:w="30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六城区以外其余区县市均不统一，请调整至7个事项。</w:t>
            </w:r>
          </w:p>
        </w:tc>
      </w:tr>
    </w:tbl>
    <w:p>
      <w:pPr>
        <w:numPr>
          <w:ilvl w:val="0"/>
          <w:numId w:val="0"/>
        </w:numPr>
        <w:jc w:val="both"/>
        <w:rPr>
          <w:rFonts w:hint="eastAsia"/>
          <w:b/>
          <w:bCs/>
          <w:sz w:val="30"/>
          <w:szCs w:val="30"/>
          <w:vertAlign w:val="baseline"/>
          <w:lang w:val="en-US" w:eastAsia="zh-CN"/>
        </w:rPr>
      </w:pPr>
      <w:r>
        <w:rPr>
          <w:rFonts w:hint="eastAsia"/>
          <w:b/>
          <w:bCs/>
          <w:sz w:val="30"/>
          <w:szCs w:val="30"/>
          <w:vertAlign w:val="baseline"/>
          <w:lang w:val="en-US" w:eastAsia="zh-CN"/>
        </w:rPr>
        <w:t>三、调整要求。</w:t>
      </w:r>
    </w:p>
    <w:p>
      <w:pPr>
        <w:numPr>
          <w:ilvl w:val="0"/>
          <w:numId w:val="0"/>
        </w:numPr>
        <w:jc w:val="both"/>
        <w:rPr>
          <w:rFonts w:hint="eastAsia"/>
          <w:b/>
          <w:bCs/>
          <w:sz w:val="30"/>
          <w:szCs w:val="30"/>
          <w:vertAlign w:val="baseline"/>
          <w:lang w:val="en-US" w:eastAsia="zh-CN"/>
        </w:rPr>
      </w:pPr>
      <w:r>
        <w:rPr>
          <w:rFonts w:hint="eastAsia"/>
          <w:b/>
          <w:bCs/>
          <w:sz w:val="30"/>
          <w:szCs w:val="30"/>
          <w:vertAlign w:val="baseline"/>
          <w:lang w:val="en-US" w:eastAsia="zh-CN"/>
        </w:rPr>
        <w:t>1.市指导目录与省指导目录事项数不一致的，请再次梳理本系统指导目录，报送市跑改版。经市跑改版核对无误后，由市级单位推送至各区县市对口部门，并督促做好政务网上的调整工作。</w:t>
      </w:r>
    </w:p>
    <w:p>
      <w:pPr>
        <w:numPr>
          <w:ilvl w:val="0"/>
          <w:numId w:val="0"/>
        </w:numPr>
        <w:jc w:val="both"/>
        <w:rPr>
          <w:rFonts w:hint="eastAsia"/>
          <w:b/>
          <w:bCs/>
          <w:sz w:val="30"/>
          <w:szCs w:val="30"/>
          <w:vertAlign w:val="baseline"/>
          <w:lang w:val="en-US" w:eastAsia="zh-CN"/>
        </w:rPr>
      </w:pPr>
      <w:r>
        <w:rPr>
          <w:rFonts w:hint="eastAsia"/>
          <w:b/>
          <w:bCs/>
          <w:sz w:val="30"/>
          <w:szCs w:val="30"/>
          <w:vertAlign w:val="baseline"/>
          <w:lang w:val="en-US" w:eastAsia="zh-CN"/>
        </w:rPr>
        <w:t>2.政务网“最多跑一次”事项清单中</w:t>
      </w:r>
      <w:bookmarkStart w:id="0" w:name="_GoBack"/>
      <w:bookmarkEnd w:id="0"/>
      <w:r>
        <w:rPr>
          <w:rFonts w:hint="eastAsia"/>
          <w:b/>
          <w:bCs/>
          <w:sz w:val="30"/>
          <w:szCs w:val="30"/>
          <w:vertAlign w:val="baseline"/>
          <w:lang w:val="en-US" w:eastAsia="zh-CN"/>
        </w:rPr>
        <w:t>事项数与市级指导目录事项数不一致的，请市级单位根据上述查出的问题，督促各区县市做好调整。</w:t>
      </w:r>
    </w:p>
    <w:p>
      <w:pPr>
        <w:numPr>
          <w:ilvl w:val="0"/>
          <w:numId w:val="0"/>
        </w:numPr>
        <w:jc w:val="both"/>
        <w:rPr>
          <w:rFonts w:hint="eastAsia"/>
          <w:b/>
          <w:bCs/>
          <w:sz w:val="30"/>
          <w:szCs w:val="30"/>
          <w:vertAlign w:val="baseline"/>
          <w:lang w:val="en-US" w:eastAsia="zh-CN"/>
        </w:rPr>
      </w:pPr>
      <w:r>
        <w:rPr>
          <w:rFonts w:hint="eastAsia"/>
          <w:b/>
          <w:bCs/>
          <w:sz w:val="30"/>
          <w:szCs w:val="30"/>
          <w:vertAlign w:val="baseline"/>
          <w:lang w:val="en-US" w:eastAsia="zh-CN"/>
        </w:rPr>
        <w:t>3.各地跑改办根据市跑改办推出的调整后市系统指导目录，再次做好事项数统计（按主项）及上报。</w:t>
      </w:r>
    </w:p>
    <w:p>
      <w:pPr>
        <w:numPr>
          <w:ilvl w:val="0"/>
          <w:numId w:val="0"/>
        </w:numPr>
        <w:jc w:val="both"/>
        <w:rPr>
          <w:rFonts w:hint="eastAsia"/>
          <w:b/>
          <w:bCs/>
          <w:sz w:val="30"/>
          <w:szCs w:val="30"/>
          <w:vertAlign w:val="baseline"/>
          <w:lang w:val="en-US" w:eastAsia="zh-CN"/>
        </w:rPr>
      </w:pPr>
    </w:p>
    <w:p>
      <w:pPr>
        <w:numPr>
          <w:ilvl w:val="0"/>
          <w:numId w:val="0"/>
        </w:numPr>
        <w:jc w:val="both"/>
        <w:rPr>
          <w:rFonts w:hint="eastAsia"/>
          <w:b/>
          <w:bCs/>
          <w:sz w:val="30"/>
          <w:szCs w:val="30"/>
          <w:vertAlign w:val="baseline"/>
          <w:lang w:val="en-US" w:eastAsia="zh-CN"/>
        </w:rPr>
      </w:pPr>
      <w:r>
        <w:rPr>
          <w:rFonts w:hint="eastAsia"/>
          <w:b/>
          <w:bCs/>
          <w:sz w:val="30"/>
          <w:szCs w:val="30"/>
          <w:vertAlign w:val="baseline"/>
          <w:lang w:val="en-US" w:eastAsia="zh-CN"/>
        </w:rPr>
        <w:t>联系人：许鑫  电话: 85250189  邮箱：195421667@QQ.COM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42D6F"/>
    <w:rsid w:val="01F076CC"/>
    <w:rsid w:val="05013384"/>
    <w:rsid w:val="09EA52C9"/>
    <w:rsid w:val="0BA30A87"/>
    <w:rsid w:val="104E4EB6"/>
    <w:rsid w:val="106D5686"/>
    <w:rsid w:val="12B43DAB"/>
    <w:rsid w:val="13FA7D23"/>
    <w:rsid w:val="148F455E"/>
    <w:rsid w:val="181E388D"/>
    <w:rsid w:val="1CD3398A"/>
    <w:rsid w:val="20ED182F"/>
    <w:rsid w:val="228964A5"/>
    <w:rsid w:val="244A2039"/>
    <w:rsid w:val="296A67C5"/>
    <w:rsid w:val="2B7F006A"/>
    <w:rsid w:val="2C062B56"/>
    <w:rsid w:val="2F02029F"/>
    <w:rsid w:val="35E84DA9"/>
    <w:rsid w:val="3CD920DC"/>
    <w:rsid w:val="3D102C24"/>
    <w:rsid w:val="3D5A4AA7"/>
    <w:rsid w:val="45EC00B3"/>
    <w:rsid w:val="49744CC3"/>
    <w:rsid w:val="4D2E5513"/>
    <w:rsid w:val="5B6461B7"/>
    <w:rsid w:val="62D46507"/>
    <w:rsid w:val="64696F53"/>
    <w:rsid w:val="6492134D"/>
    <w:rsid w:val="64C46593"/>
    <w:rsid w:val="656A6904"/>
    <w:rsid w:val="67112F14"/>
    <w:rsid w:val="72622C73"/>
    <w:rsid w:val="73D54E86"/>
    <w:rsid w:val="7C3436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2230</Words>
  <Characters>2507</Characters>
  <Lines>0</Lines>
  <Paragraphs>0</Paragraphs>
  <ScaleCrop>false</ScaleCrop>
  <LinksUpToDate>false</LinksUpToDate>
  <CharactersWithSpaces>2582</CharactersWithSpaces>
  <Application>WPS Office_10.1.0.6750_F1E327BC-269C-435d-A152-05C5408002CA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2017-10-08T16:10:57Z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