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关于《“最多跑一次”改革过程性指标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考评细则》的实施方案</w:t>
      </w:r>
    </w:p>
    <w:bookmarkEnd w:id="0"/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“最多跑一次”改革作为2017年度浙江省平安市、县（市、区）考核内容，我办会同省发改委印发了《“最多跑一次”改革过程性指标考评细则》（浙编办发〔2017〕49号），现就具体考核方式制定如下实施方案。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一、考核对象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全省89个县（市、区）。</w:t>
      </w:r>
    </w:p>
    <w:p>
      <w:pPr>
        <w:numPr>
          <w:ilvl w:val="0"/>
          <w:numId w:val="1"/>
        </w:num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考核实施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1.考核人员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这次考核涉及各地年终排名，时间紧、任务重，要以三个督查组人员为主，统一开展考评工作，体改处汇总。</w:t>
      </w:r>
    </w:p>
    <w:p>
      <w:pPr>
        <w:ind w:firstLine="472" w:firstLineChars="147"/>
        <w:rPr>
          <w:rFonts w:ascii="黑体" w:hAnsi="黑体" w:eastAsia="黑体" w:cs="黑体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 xml:space="preserve"> 2.考核方式。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采取百分制，按照公平公正、客观准确的要求，督查组通过第三方评估报告综合评定、后台抽查数据比对、收集有关佐证材料等形式对考评对象进行赋分排名；省发改委、省数据中心按照考核要求负责对各自考核内容进行赋分排名；考核分数及排名请在1月15日前，报体改处汇总。经综合评定后，1月31日前将89个县（市、区）最终考核排名情况报省平安办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三、考评内容及计分办法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（一）“最多跑一次”事项实现情况（20分）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2017年前三次第三方专业评估报告中实现率、满意度和政务指数等指标分别加权平均后进行排名。每一个指标按照1-3名得20分，4-6得19.9分，以此类推88-89名17分。最后，将三个指标的得分按照40%、30%、30%的比例进行折算求和，计算出该县（市、区）总分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（二）行政服务中心“一窗受理、集成服务”改革落实情况（20 分，扣完为止）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1．办事指南梳理公布情况（5分）。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八统一完成后，各地办事指南就全部规范到位，建议此项全部打5分。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2．政务办事事项进驻中心情况（3分）。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督查组通过浙江政务服务网后台对各地前100项高频事项（附件3）的办事指南进行抽查，每发现一项办事指南的地址未体现各地行政服务中心内容的扣 0.1分，扣完 1 分止；各地提供省里明确要求的多部门联办事项（浙工商企〔2017〕6 号；浙跑改办字〔2017〕9号；浙跑改办字〔2017〕64号；浙政办发〔2017〕53号；）入驻行政服务中心窗口人员花名册，无窗口人员花名册的每1件事扣 1 分，扣完 2 分止。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3．政府常务副职兼任中心主任或者书记情况（2分）。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各地提供政府常务兼任中心主任或者书记的电子文件，没有任职文件的扣1 分。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4．施工图联审、证照联办、多证合一等到位情况（4分）。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地以电子文档形式提供施工图联审、证照联办、多证合一的具体案例（附件4）。其中施工图联审案例提供2017全年办件案例；证照联办和多证合一各随机提供25个办件案例。督查组对上报的案例按照不低于20%的比例，以电话回访的形式进行抽查。无相关案例或报送案例抽查发现问题的每个案例扣1分，扣完4分止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5．按照“一窗受理”要求，前台受理人员和后台协同人员培训情况（2分）。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各地以电子版本形式提供“一窗受理”前台受理人员和后台协同人员培训文件、培训人员花名册等材料，材料不齐全的扣 1 分。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6．办事服务网点便民手册编制工作（4分）。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建议这次暂时不考核，全部计4分。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（三）继续深化行政审批制度改革（15 分，扣完为止）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由省发改委牵头考核，在1月15日前将各县（市、区）的考核排名和具体分数报省跑改办汇总。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（四）推进系统对接和数据共享（25 分，扣完为止）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由省政府办公厅（省数据管理中心）牵头考核，在1月15日前将各县（市、区）的考核排名和具体分数报省跑改办汇总。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（五）全面推行“双随机、一公开”监管（20 分，扣完为止）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1．“双随机、一公开”监管工作全覆盖情况（8分）。</w:t>
      </w:r>
      <w:r>
        <w:rPr>
          <w:rFonts w:hint="eastAsia" w:ascii="仿宋_GB2312" w:hAnsi="仿宋_GB2312" w:eastAsia="仿宋_GB2312" w:cs="仿宋_GB2312"/>
          <w:sz w:val="32"/>
          <w:szCs w:val="32"/>
        </w:rPr>
        <w:t>省级单位已完成“双随机”抽查管理系统基础模块“建库”的部门，各地须将相应部门的“一单两库一细则”及实际抽查应用情况导入监管系统，无需报送电子文档材料，督查组通过监管系统进行核查；省级单位未完成“建库”的部门，由各地报送相关部门出台的“一单两库一细则”以及实际抽查情况电子文档材料。每发现1个部门未制定“一单两库一细则”的扣1分，没有实际抽查记录的每部门扣0.5分，扣完8分止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2．“双随机”抽查管理系统应用情况（5分）。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暂时不纳入考核，全部计5分。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3．全面落实“部门联合、随机抽查、按标监管”的“一次到位”机制情况（7分）。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暂时不纳入考核，全部计7分。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（六）加分项目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1.省委书记和省长关于“最多跑一次”改革的重要批示，每件加1分。同一件事只加一次分，最高加3分。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根据浙跑改办字〔2017〕140号文件精神，对各地上报的“一件事情”进行梳理，超出省里明确布置的“一件事情”任务要求且有办件量的，“一件事情”加1分，最高加1分。（各地对浙跑改办字〔2017〕140号上报资料已以各地原上报材料为准，本考核文件下发后的不能再补报材料；各地上报材料内容不齐全、办件量为零的不计入加分。）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3.各地与“最多跑一次”改革相关的重大改革试点项目被全省范围内推广的（具有较高创新价值，但因条件限制暂时无法推广的），每1个项目加1分，最高加2分。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附件：1.“最多跑一次”改革电话抽查情况汇总表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2.“最多跑一次”改革过程性指标得分汇总表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各地群众和企业办事前100项高频事项清单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4.“最多跑一次”改革考核案例登记表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 ×××事项窗口人员花名册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  重大改革试点项目情况登记表</w:t>
      </w:r>
    </w:p>
    <w:p>
      <w:pPr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 各地需要提供电子文档的事项清单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浙江省“最多跑一次”改革办公室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（浙江省机构编制委员会办公室代章）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2017年12月26日</w:t>
      </w:r>
    </w:p>
    <w:p>
      <w:pPr>
        <w:rPr>
          <w:rFonts w:ascii="仿宋_GB2312" w:hAnsi="仿宋_GB2312" w:eastAsia="仿宋_GB2312" w:cs="仿宋_GB2312"/>
          <w:sz w:val="24"/>
          <w:u w:val="singl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ind w:firstLine="883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“最多跑一次”考核电话抽查情况汇总表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县（市、区）名称：</w:t>
      </w: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tbl>
      <w:tblPr>
        <w:tblStyle w:val="6"/>
        <w:tblW w:w="99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894"/>
        <w:gridCol w:w="1196"/>
        <w:gridCol w:w="870"/>
        <w:gridCol w:w="3889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抽查内容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事项属性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扣分情况</w:t>
            </w: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扣分原因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8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说明：1.事项属性：跑一次、跑零次。</w:t>
      </w:r>
    </w:p>
    <w:p>
      <w:pPr>
        <w:ind w:firstLine="720" w:firstLineChars="3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2.统计完成后请将扣分情况汇总，算出扣分总和。</w:t>
      </w: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</w:rPr>
        <w:t>督查组成员：        督查组长：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“最多跑一次”改革过程性指标得分汇总表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县（市、区）名称：</w:t>
      </w:r>
    </w:p>
    <w:p>
      <w:pPr>
        <w:jc w:val="left"/>
        <w:rPr>
          <w:rFonts w:ascii="仿宋_GB2312" w:hAnsi="仿宋_GB2312" w:eastAsia="仿宋_GB2312" w:cs="仿宋_GB2312"/>
          <w:sz w:val="24"/>
        </w:rPr>
      </w:pPr>
    </w:p>
    <w:tbl>
      <w:tblPr>
        <w:tblStyle w:val="6"/>
        <w:tblW w:w="10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132"/>
        <w:gridCol w:w="3255"/>
        <w:gridCol w:w="885"/>
        <w:gridCol w:w="975"/>
        <w:gridCol w:w="2415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43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考评事项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得分（分）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小计（分）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扣分原因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43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“最多跑一次”事项情况（20分）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“一窗受理、集成服务”落实情况（20分）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办事指南梳理公布情况（5分）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政务办事事项进驻中心情况（3分）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政府常务兼职情况（2分）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施工图联审、证照联办和多证合一情况（4分）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“一窗受理”相关人员培训情况（2分）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办事服务体系网点便民手册编制情况（4分）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继续深化行政审批制度改革（15分）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行政审批层级一体化情况（2分）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restart"/>
            <w:vAlign w:val="center"/>
          </w:tcPr>
          <w:p>
            <w:pPr>
              <w:tabs>
                <w:tab w:val="left" w:pos="342"/>
              </w:tabs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发改委负责打分排名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投资项目在线审批监管平台情况（6分）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企业投资项目“最多跑一次改革情况”（4分）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涉审批中介改革情况（2分）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区域评价情况（1分）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系统对接和数据共享（25分）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系统对接情况（10分）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数据中心负责打分排名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14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数据共享情况（5分）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网上办事情况（10分）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16</w:t>
            </w:r>
          </w:p>
        </w:tc>
        <w:tc>
          <w:tcPr>
            <w:tcW w:w="113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双随机一公开监管（20分）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工作全覆盖情况（8分）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17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联合抽查管理系统应用情况（5分）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</w:t>
            </w:r>
          </w:p>
        </w:tc>
        <w:tc>
          <w:tcPr>
            <w:tcW w:w="113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“一次到位”机制情况（7分）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19</w:t>
            </w:r>
          </w:p>
        </w:tc>
        <w:tc>
          <w:tcPr>
            <w:tcW w:w="43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    计（分）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督查组成员：                  督查组长：</w:t>
      </w:r>
    </w:p>
    <w:p>
      <w:pPr>
        <w:rPr>
          <w:rFonts w:ascii="仿宋_GB2312" w:hAnsi="仿宋_GB2312" w:eastAsia="仿宋_GB2312" w:cs="仿宋_GB2312"/>
          <w:sz w:val="24"/>
          <w:u w:val="singl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ind w:firstLine="1325" w:firstLineChars="300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各地群众和企业办事前100项高频事项清</w:t>
      </w:r>
    </w:p>
    <w:p>
      <w:pPr>
        <w:ind w:firstLine="1325" w:firstLineChars="300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157" w:right="896" w:bottom="873" w:left="896" w:header="851" w:footer="992" w:gutter="0"/>
          <w:cols w:space="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目前事项正在征求各地意见建议，待征求意见结束后再明确。</w:t>
      </w:r>
    </w:p>
    <w:p>
      <w:pPr>
        <w:rPr>
          <w:rFonts w:ascii="仿宋_GB2312" w:hAnsi="仿宋_GB2312" w:eastAsia="仿宋_GB2312" w:cs="仿宋_GB2312"/>
          <w:sz w:val="24"/>
          <w:u w:val="singl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</w:t>
      </w:r>
    </w:p>
    <w:p>
      <w:pPr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“最多跑一次”考核案例登记表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县（市、区）名称：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 w:val="24"/>
        </w:rPr>
      </w:pPr>
    </w:p>
    <w:tbl>
      <w:tblPr>
        <w:tblStyle w:val="6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756"/>
        <w:gridCol w:w="2314"/>
        <w:gridCol w:w="1558"/>
        <w:gridCol w:w="2070"/>
        <w:gridCol w:w="1590"/>
        <w:gridCol w:w="324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案例名称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考核项目名称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办事群众/企业负责人姓名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办事群众/企业负责人手机号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办理时间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目前进度情况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说明：1.办理时间指群众或企业办事提交材料时间，要求在文件印发后至2017年12月31日前。</w:t>
      </w:r>
    </w:p>
    <w:p>
      <w:pPr>
        <w:rPr>
          <w:rFonts w:ascii="仿宋_GB2312" w:hAnsi="仿宋_GB2312" w:eastAsia="仿宋_GB2312" w:cs="仿宋_GB2312"/>
          <w:sz w:val="24"/>
        </w:rPr>
        <w:sectPr>
          <w:pgSz w:w="16838" w:h="11906" w:orient="landscape"/>
          <w:pgMar w:top="896" w:right="1157" w:bottom="896" w:left="873" w:header="851" w:footer="992" w:gutter="0"/>
          <w:cols w:space="0" w:num="1"/>
          <w:docGrid w:type="lines" w:linePitch="312" w:charSpace="0"/>
        </w:sect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附件5</w:t>
      </w:r>
    </w:p>
    <w:p>
      <w:pPr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×××事项窗口人员花名册</w:t>
      </w:r>
    </w:p>
    <w:p>
      <w:pPr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县（市、区）名称：</w:t>
      </w:r>
    </w:p>
    <w:p>
      <w:pPr>
        <w:spacing w:line="400" w:lineRule="exact"/>
        <w:jc w:val="left"/>
        <w:rPr>
          <w:rFonts w:asciiTheme="majorEastAsia" w:hAnsiTheme="majorEastAsia" w:eastAsiaTheme="majorEastAsia" w:cstheme="majorEastAsia"/>
          <w:sz w:val="44"/>
          <w:szCs w:val="44"/>
        </w:rPr>
      </w:pPr>
    </w:p>
    <w:tbl>
      <w:tblPr>
        <w:tblStyle w:val="6"/>
        <w:tblW w:w="102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487"/>
        <w:gridCol w:w="1487"/>
        <w:gridCol w:w="1460"/>
        <w:gridCol w:w="1355"/>
        <w:gridCol w:w="1434"/>
        <w:gridCol w:w="1473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窗口名称</w:t>
            </w:r>
          </w:p>
        </w:tc>
        <w:tc>
          <w:tcPr>
            <w:tcW w:w="1487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所在部门</w:t>
            </w:r>
          </w:p>
        </w:tc>
        <w:tc>
          <w:tcPr>
            <w:tcW w:w="146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工号</w:t>
            </w:r>
          </w:p>
        </w:tc>
        <w:tc>
          <w:tcPr>
            <w:tcW w:w="14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进驻时间</w:t>
            </w:r>
          </w:p>
        </w:tc>
        <w:tc>
          <w:tcPr>
            <w:tcW w:w="147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</w:t>
            </w:r>
          </w:p>
        </w:tc>
        <w:tc>
          <w:tcPr>
            <w:tcW w:w="829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87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60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355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34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1473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  <w:tc>
          <w:tcPr>
            <w:tcW w:w="829" w:type="dxa"/>
          </w:tcPr>
          <w:p>
            <w:pPr>
              <w:rPr>
                <w:rFonts w:asciiTheme="majorEastAsia" w:hAnsiTheme="majorEastAsia" w:eastAsiaTheme="majorEastAsia" w:cstheme="majorEastAsia"/>
                <w:sz w:val="44"/>
                <w:szCs w:val="4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填表说明：1.进驻时间:要明确到 </w:t>
      </w:r>
      <w:r>
        <w:rPr>
          <w:rFonts w:ascii="Arial" w:hAnsi="Arial" w:eastAsia="仿宋_GB2312" w:cs="Arial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</w:t>
      </w:r>
      <w:r>
        <w:rPr>
          <w:rFonts w:ascii="Arial" w:hAnsi="Arial" w:eastAsia="仿宋_GB2312" w:cs="Arial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ascii="Arial" w:hAnsi="Arial" w:eastAsia="仿宋_GB2312" w:cs="Arial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附件6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重大改革试点项目情况登记表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spacing w:line="400" w:lineRule="exact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县（市、区）名称：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6"/>
        <w:tblW w:w="10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7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改革试点项目名称</w:t>
            </w:r>
          </w:p>
        </w:tc>
        <w:tc>
          <w:tcPr>
            <w:tcW w:w="7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试点批准文号</w:t>
            </w:r>
          </w:p>
        </w:tc>
        <w:tc>
          <w:tcPr>
            <w:tcW w:w="7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全省推广文号</w:t>
            </w:r>
          </w:p>
        </w:tc>
        <w:tc>
          <w:tcPr>
            <w:tcW w:w="7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9" w:hRule="atLeast"/>
        </w:trPr>
        <w:tc>
          <w:tcPr>
            <w:tcW w:w="28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项目介绍</w:t>
            </w:r>
          </w:p>
        </w:tc>
        <w:tc>
          <w:tcPr>
            <w:tcW w:w="746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说明：1.改革试点项目必须与“最多跑一次”改革工作相关。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2.项目在全省推广时间：2017年1月1日-12月31日。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附件7</w:t>
      </w:r>
    </w:p>
    <w:p>
      <w:pPr>
        <w:ind w:firstLine="2209" w:firstLineChars="500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各地需要提供电子文档的事项清单</w:t>
      </w:r>
    </w:p>
    <w:p>
      <w:pPr>
        <w:ind w:firstLine="2209" w:firstLineChars="500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tbl>
      <w:tblPr>
        <w:tblStyle w:val="6"/>
        <w:tblW w:w="10110" w:type="dxa"/>
        <w:tblInd w:w="2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4080"/>
        <w:gridCol w:w="4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40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考核事项</w:t>
            </w:r>
          </w:p>
        </w:tc>
        <w:tc>
          <w:tcPr>
            <w:tcW w:w="499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提供材料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政务办事事项进驻中心情况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提供多部门联办事项入驻行政服务中心窗口人员花名册（附件5 ×××事项窗口人员花名册）。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政府常务副职兼任中心主任或者书记情况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政府常务兼任中心主任或者书记的文件扫描件。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施工图联审、证照联办、多证合一等到位情况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提供施工图联审、证照联办、多证合一的具体案例（附件4“最多跑一次”改革考核案例登记表）。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按照“一窗受理”要求，前台受理人员和后台协同人员培训情况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提供“一窗受理”前台受理人员和后台协同人员培训文件和培训人员花名册（附件5 ×××事项人员花名册）。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“双随机、一公开”监管工作全覆盖情况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未完成“建库”部门的“一单两库一细则”以及实际抽查情况。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省委书记和省长关于“最多跑一次”改革的重要批示</w:t>
            </w:r>
          </w:p>
        </w:tc>
        <w:tc>
          <w:tcPr>
            <w:tcW w:w="4995" w:type="dxa"/>
            <w:vAlign w:val="center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重要批示的扫描件。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4080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重大改革试点项目被全省范围内推广</w:t>
            </w:r>
          </w:p>
        </w:tc>
        <w:tc>
          <w:tcPr>
            <w:tcW w:w="4995" w:type="dxa"/>
          </w:tcPr>
          <w:p>
            <w:pPr>
              <w:ind w:firstLine="56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试点批准文件和全省推广文件的扫描件；重大改革试点项目情况登记表（附件6）。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157" w:right="896" w:bottom="873" w:left="89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89C5F"/>
    <w:multiLevelType w:val="singleLevel"/>
    <w:tmpl w:val="5A389C5F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9609C1"/>
    <w:rsid w:val="00147B9B"/>
    <w:rsid w:val="001815D1"/>
    <w:rsid w:val="003E587B"/>
    <w:rsid w:val="0050795C"/>
    <w:rsid w:val="00685B60"/>
    <w:rsid w:val="00A17C97"/>
    <w:rsid w:val="00A375E8"/>
    <w:rsid w:val="00A5467D"/>
    <w:rsid w:val="00AA0584"/>
    <w:rsid w:val="00E1245B"/>
    <w:rsid w:val="015A6C07"/>
    <w:rsid w:val="018D139F"/>
    <w:rsid w:val="01F3075B"/>
    <w:rsid w:val="024B1595"/>
    <w:rsid w:val="02CF1332"/>
    <w:rsid w:val="03336840"/>
    <w:rsid w:val="03610FF1"/>
    <w:rsid w:val="03AF01FD"/>
    <w:rsid w:val="03E46A7B"/>
    <w:rsid w:val="041B5C87"/>
    <w:rsid w:val="04442C7C"/>
    <w:rsid w:val="04653B8C"/>
    <w:rsid w:val="04D67776"/>
    <w:rsid w:val="04DA260A"/>
    <w:rsid w:val="04E00CC5"/>
    <w:rsid w:val="051945EF"/>
    <w:rsid w:val="05786EF1"/>
    <w:rsid w:val="06225AC9"/>
    <w:rsid w:val="06CE65AA"/>
    <w:rsid w:val="06E03B17"/>
    <w:rsid w:val="06E913F0"/>
    <w:rsid w:val="070F3EDA"/>
    <w:rsid w:val="07851C11"/>
    <w:rsid w:val="07A85C6C"/>
    <w:rsid w:val="07E95D05"/>
    <w:rsid w:val="087B3AF6"/>
    <w:rsid w:val="08963DF5"/>
    <w:rsid w:val="08A945E0"/>
    <w:rsid w:val="0969762F"/>
    <w:rsid w:val="096E1E1F"/>
    <w:rsid w:val="09743E04"/>
    <w:rsid w:val="09A56599"/>
    <w:rsid w:val="0A04153A"/>
    <w:rsid w:val="0A3D372D"/>
    <w:rsid w:val="0A401B43"/>
    <w:rsid w:val="0A6412B3"/>
    <w:rsid w:val="0B6004FC"/>
    <w:rsid w:val="0BE65DEA"/>
    <w:rsid w:val="0C1223CA"/>
    <w:rsid w:val="0C5E2ABB"/>
    <w:rsid w:val="0C7730F3"/>
    <w:rsid w:val="0CD12504"/>
    <w:rsid w:val="0D5F667F"/>
    <w:rsid w:val="0D5F73E9"/>
    <w:rsid w:val="0D6C6C11"/>
    <w:rsid w:val="0DA66EE5"/>
    <w:rsid w:val="0DA75840"/>
    <w:rsid w:val="0DA82FB5"/>
    <w:rsid w:val="0E031F00"/>
    <w:rsid w:val="0E395DBA"/>
    <w:rsid w:val="0E594FC1"/>
    <w:rsid w:val="0E7F069E"/>
    <w:rsid w:val="0EE23924"/>
    <w:rsid w:val="0F5F3B20"/>
    <w:rsid w:val="0F6448F0"/>
    <w:rsid w:val="0F741C9B"/>
    <w:rsid w:val="10326B61"/>
    <w:rsid w:val="103612CA"/>
    <w:rsid w:val="10AE283D"/>
    <w:rsid w:val="10C51689"/>
    <w:rsid w:val="10C92D61"/>
    <w:rsid w:val="115A4C07"/>
    <w:rsid w:val="116D790E"/>
    <w:rsid w:val="1179604F"/>
    <w:rsid w:val="118E0507"/>
    <w:rsid w:val="12014CE4"/>
    <w:rsid w:val="12287925"/>
    <w:rsid w:val="128E5023"/>
    <w:rsid w:val="12964BB9"/>
    <w:rsid w:val="12CF61D9"/>
    <w:rsid w:val="12E54ADC"/>
    <w:rsid w:val="13057F8D"/>
    <w:rsid w:val="14FB38EF"/>
    <w:rsid w:val="151B521A"/>
    <w:rsid w:val="153E334A"/>
    <w:rsid w:val="15402C94"/>
    <w:rsid w:val="16B33078"/>
    <w:rsid w:val="17100091"/>
    <w:rsid w:val="171D5DD1"/>
    <w:rsid w:val="171D5E0D"/>
    <w:rsid w:val="177119E2"/>
    <w:rsid w:val="1780274E"/>
    <w:rsid w:val="17BD46A5"/>
    <w:rsid w:val="181B76DA"/>
    <w:rsid w:val="188E10C1"/>
    <w:rsid w:val="191A2C4A"/>
    <w:rsid w:val="193A7D5A"/>
    <w:rsid w:val="198B2EE5"/>
    <w:rsid w:val="199609C1"/>
    <w:rsid w:val="19BF0F76"/>
    <w:rsid w:val="19F61268"/>
    <w:rsid w:val="1A197983"/>
    <w:rsid w:val="1A6374E9"/>
    <w:rsid w:val="1A69540C"/>
    <w:rsid w:val="1A6C52B4"/>
    <w:rsid w:val="1A8B7FA3"/>
    <w:rsid w:val="1ADC7E2A"/>
    <w:rsid w:val="1B3B0CA1"/>
    <w:rsid w:val="1B6C72F0"/>
    <w:rsid w:val="1BB07736"/>
    <w:rsid w:val="1BB42685"/>
    <w:rsid w:val="1BC967DD"/>
    <w:rsid w:val="1BDC1CEC"/>
    <w:rsid w:val="1BED655A"/>
    <w:rsid w:val="1BFD44C0"/>
    <w:rsid w:val="1C9823BF"/>
    <w:rsid w:val="1D4A3717"/>
    <w:rsid w:val="1DCF2884"/>
    <w:rsid w:val="1DE039A5"/>
    <w:rsid w:val="1F1A6B98"/>
    <w:rsid w:val="1F652B83"/>
    <w:rsid w:val="1FBD5385"/>
    <w:rsid w:val="1FD63188"/>
    <w:rsid w:val="1FD66F18"/>
    <w:rsid w:val="20AC7F17"/>
    <w:rsid w:val="20E160E7"/>
    <w:rsid w:val="20F12AD8"/>
    <w:rsid w:val="219A5D96"/>
    <w:rsid w:val="21C82E8B"/>
    <w:rsid w:val="21CA4945"/>
    <w:rsid w:val="21CB4033"/>
    <w:rsid w:val="21CE4A20"/>
    <w:rsid w:val="224F38D4"/>
    <w:rsid w:val="22797CC9"/>
    <w:rsid w:val="22A5671E"/>
    <w:rsid w:val="22BF517D"/>
    <w:rsid w:val="23864383"/>
    <w:rsid w:val="245650A7"/>
    <w:rsid w:val="247B780F"/>
    <w:rsid w:val="248C569A"/>
    <w:rsid w:val="24F864AB"/>
    <w:rsid w:val="256807DE"/>
    <w:rsid w:val="258637A1"/>
    <w:rsid w:val="25970613"/>
    <w:rsid w:val="25DC0A06"/>
    <w:rsid w:val="26A212B5"/>
    <w:rsid w:val="26D24FA7"/>
    <w:rsid w:val="26D3750B"/>
    <w:rsid w:val="26DF4743"/>
    <w:rsid w:val="26E63BCD"/>
    <w:rsid w:val="273C7A40"/>
    <w:rsid w:val="277628FF"/>
    <w:rsid w:val="279E64E7"/>
    <w:rsid w:val="28357664"/>
    <w:rsid w:val="289E36B3"/>
    <w:rsid w:val="28AD27E0"/>
    <w:rsid w:val="29251D7E"/>
    <w:rsid w:val="2977729C"/>
    <w:rsid w:val="29A4661B"/>
    <w:rsid w:val="2A083939"/>
    <w:rsid w:val="2A2E7C1F"/>
    <w:rsid w:val="2A804C6A"/>
    <w:rsid w:val="2AA351FE"/>
    <w:rsid w:val="2AC74664"/>
    <w:rsid w:val="2AED7C79"/>
    <w:rsid w:val="2B0C6C07"/>
    <w:rsid w:val="2B1711C9"/>
    <w:rsid w:val="2B7F08AD"/>
    <w:rsid w:val="2C036CF3"/>
    <w:rsid w:val="2C332C1A"/>
    <w:rsid w:val="2C5344B5"/>
    <w:rsid w:val="2C5A5C46"/>
    <w:rsid w:val="2CF50571"/>
    <w:rsid w:val="2CFC730C"/>
    <w:rsid w:val="2D102A79"/>
    <w:rsid w:val="2D1C6081"/>
    <w:rsid w:val="2D275EA1"/>
    <w:rsid w:val="2D9E1C86"/>
    <w:rsid w:val="2DA3403D"/>
    <w:rsid w:val="2DD4135A"/>
    <w:rsid w:val="2E2F6BF2"/>
    <w:rsid w:val="2EE1055C"/>
    <w:rsid w:val="2F396213"/>
    <w:rsid w:val="2F490515"/>
    <w:rsid w:val="2F634BB5"/>
    <w:rsid w:val="2FA21803"/>
    <w:rsid w:val="2FA90A0E"/>
    <w:rsid w:val="2FC703EC"/>
    <w:rsid w:val="2FD8706D"/>
    <w:rsid w:val="300773BB"/>
    <w:rsid w:val="30D37046"/>
    <w:rsid w:val="310800BC"/>
    <w:rsid w:val="312306C8"/>
    <w:rsid w:val="31332289"/>
    <w:rsid w:val="31927FC7"/>
    <w:rsid w:val="31B5438A"/>
    <w:rsid w:val="32064B37"/>
    <w:rsid w:val="32522B1D"/>
    <w:rsid w:val="328C1352"/>
    <w:rsid w:val="32D85C27"/>
    <w:rsid w:val="3341566B"/>
    <w:rsid w:val="334321D8"/>
    <w:rsid w:val="33D80CE6"/>
    <w:rsid w:val="33E51179"/>
    <w:rsid w:val="341D4ED9"/>
    <w:rsid w:val="34536CFC"/>
    <w:rsid w:val="34AA7B40"/>
    <w:rsid w:val="34DA0BEC"/>
    <w:rsid w:val="34DF4A7E"/>
    <w:rsid w:val="35254E17"/>
    <w:rsid w:val="35EF549B"/>
    <w:rsid w:val="36365757"/>
    <w:rsid w:val="3661234D"/>
    <w:rsid w:val="37021E17"/>
    <w:rsid w:val="371D4719"/>
    <w:rsid w:val="3740313B"/>
    <w:rsid w:val="37BC629B"/>
    <w:rsid w:val="381E3E54"/>
    <w:rsid w:val="384443A8"/>
    <w:rsid w:val="38746864"/>
    <w:rsid w:val="388E5A9A"/>
    <w:rsid w:val="38C71E6D"/>
    <w:rsid w:val="3917736C"/>
    <w:rsid w:val="39210F76"/>
    <w:rsid w:val="39B66A40"/>
    <w:rsid w:val="39B771E0"/>
    <w:rsid w:val="39E669A7"/>
    <w:rsid w:val="3A1E0A9A"/>
    <w:rsid w:val="3A2302E7"/>
    <w:rsid w:val="3A3B7665"/>
    <w:rsid w:val="3A4E2146"/>
    <w:rsid w:val="3A984BC9"/>
    <w:rsid w:val="3ABE0105"/>
    <w:rsid w:val="3AE55372"/>
    <w:rsid w:val="3B5D4A36"/>
    <w:rsid w:val="3B7920EF"/>
    <w:rsid w:val="3B86052A"/>
    <w:rsid w:val="3B894C6D"/>
    <w:rsid w:val="3C41237D"/>
    <w:rsid w:val="3C441AA3"/>
    <w:rsid w:val="3CA959A7"/>
    <w:rsid w:val="3D9F1ECB"/>
    <w:rsid w:val="3DD2391B"/>
    <w:rsid w:val="3DF503D2"/>
    <w:rsid w:val="3E3D6A90"/>
    <w:rsid w:val="3E4136AB"/>
    <w:rsid w:val="3E736E49"/>
    <w:rsid w:val="3EB54269"/>
    <w:rsid w:val="3F403490"/>
    <w:rsid w:val="3F7A6701"/>
    <w:rsid w:val="3FAA4F39"/>
    <w:rsid w:val="40131145"/>
    <w:rsid w:val="40C22C0E"/>
    <w:rsid w:val="411C53DD"/>
    <w:rsid w:val="415C055B"/>
    <w:rsid w:val="415C1EAB"/>
    <w:rsid w:val="41F60C04"/>
    <w:rsid w:val="42823453"/>
    <w:rsid w:val="42940F58"/>
    <w:rsid w:val="42EE103E"/>
    <w:rsid w:val="43077BAD"/>
    <w:rsid w:val="435D2383"/>
    <w:rsid w:val="43C05D41"/>
    <w:rsid w:val="43FA7F82"/>
    <w:rsid w:val="44500B25"/>
    <w:rsid w:val="449008D6"/>
    <w:rsid w:val="44C24B5C"/>
    <w:rsid w:val="45201E37"/>
    <w:rsid w:val="454539DA"/>
    <w:rsid w:val="455E4263"/>
    <w:rsid w:val="456B7A0D"/>
    <w:rsid w:val="457F6E9F"/>
    <w:rsid w:val="45DE311A"/>
    <w:rsid w:val="46171011"/>
    <w:rsid w:val="46363F6B"/>
    <w:rsid w:val="463C641D"/>
    <w:rsid w:val="46574E30"/>
    <w:rsid w:val="465D70D0"/>
    <w:rsid w:val="46814067"/>
    <w:rsid w:val="46DD4551"/>
    <w:rsid w:val="46FD3642"/>
    <w:rsid w:val="47060AB5"/>
    <w:rsid w:val="47186846"/>
    <w:rsid w:val="4746295D"/>
    <w:rsid w:val="474953E9"/>
    <w:rsid w:val="475A6795"/>
    <w:rsid w:val="476B3C7E"/>
    <w:rsid w:val="47AD0E14"/>
    <w:rsid w:val="47B25D82"/>
    <w:rsid w:val="47D57CFA"/>
    <w:rsid w:val="47E07431"/>
    <w:rsid w:val="480815D6"/>
    <w:rsid w:val="481E391B"/>
    <w:rsid w:val="488F0AEB"/>
    <w:rsid w:val="48AE6244"/>
    <w:rsid w:val="48D742D8"/>
    <w:rsid w:val="4901456D"/>
    <w:rsid w:val="49066283"/>
    <w:rsid w:val="490D0E56"/>
    <w:rsid w:val="4984514C"/>
    <w:rsid w:val="4A10417F"/>
    <w:rsid w:val="4A2944CE"/>
    <w:rsid w:val="4AB52CFD"/>
    <w:rsid w:val="4AEE5505"/>
    <w:rsid w:val="4B3E125D"/>
    <w:rsid w:val="4B7C1711"/>
    <w:rsid w:val="4B957126"/>
    <w:rsid w:val="4BAE02A7"/>
    <w:rsid w:val="4BD33416"/>
    <w:rsid w:val="4BE807CD"/>
    <w:rsid w:val="4C1C43B6"/>
    <w:rsid w:val="4C5353D0"/>
    <w:rsid w:val="4CA71FD1"/>
    <w:rsid w:val="4CB22B79"/>
    <w:rsid w:val="4CD40DFB"/>
    <w:rsid w:val="4D0B2B10"/>
    <w:rsid w:val="4D424619"/>
    <w:rsid w:val="4D5E23AE"/>
    <w:rsid w:val="4DAD2225"/>
    <w:rsid w:val="4DE97BE6"/>
    <w:rsid w:val="4E0905C0"/>
    <w:rsid w:val="4E2705F3"/>
    <w:rsid w:val="4E476C15"/>
    <w:rsid w:val="4E5345A5"/>
    <w:rsid w:val="4E892FF8"/>
    <w:rsid w:val="4E8F4453"/>
    <w:rsid w:val="4EF96CCB"/>
    <w:rsid w:val="4F147C1E"/>
    <w:rsid w:val="4F3A15EC"/>
    <w:rsid w:val="4F511615"/>
    <w:rsid w:val="4FBA3E31"/>
    <w:rsid w:val="50062E30"/>
    <w:rsid w:val="500C41AA"/>
    <w:rsid w:val="502B647B"/>
    <w:rsid w:val="504F3B02"/>
    <w:rsid w:val="50BA6A1A"/>
    <w:rsid w:val="50FA11E0"/>
    <w:rsid w:val="51194FD3"/>
    <w:rsid w:val="51621CBC"/>
    <w:rsid w:val="517F4466"/>
    <w:rsid w:val="52DE63EC"/>
    <w:rsid w:val="53C40301"/>
    <w:rsid w:val="53DA1239"/>
    <w:rsid w:val="54AF16F4"/>
    <w:rsid w:val="54EF0B0C"/>
    <w:rsid w:val="54F10E36"/>
    <w:rsid w:val="55D44DB5"/>
    <w:rsid w:val="560A588E"/>
    <w:rsid w:val="56503DA9"/>
    <w:rsid w:val="5668732B"/>
    <w:rsid w:val="567B7A7F"/>
    <w:rsid w:val="569B4E16"/>
    <w:rsid w:val="569F438D"/>
    <w:rsid w:val="56A6509B"/>
    <w:rsid w:val="574306D9"/>
    <w:rsid w:val="57E50D87"/>
    <w:rsid w:val="57EB1520"/>
    <w:rsid w:val="593A2BB3"/>
    <w:rsid w:val="595B2ECD"/>
    <w:rsid w:val="59632220"/>
    <w:rsid w:val="59E7512E"/>
    <w:rsid w:val="5A095C7D"/>
    <w:rsid w:val="5A353914"/>
    <w:rsid w:val="5A463110"/>
    <w:rsid w:val="5A4751E4"/>
    <w:rsid w:val="5A660E2F"/>
    <w:rsid w:val="5A931CA3"/>
    <w:rsid w:val="5AC67EA2"/>
    <w:rsid w:val="5B6D1E84"/>
    <w:rsid w:val="5B9158FD"/>
    <w:rsid w:val="5BA03574"/>
    <w:rsid w:val="5BA32E46"/>
    <w:rsid w:val="5BA77332"/>
    <w:rsid w:val="5BAA225F"/>
    <w:rsid w:val="5BC32466"/>
    <w:rsid w:val="5BFA04D7"/>
    <w:rsid w:val="5BFA50A5"/>
    <w:rsid w:val="5C456AC6"/>
    <w:rsid w:val="5CCE757F"/>
    <w:rsid w:val="5CFA1230"/>
    <w:rsid w:val="5D4A10CB"/>
    <w:rsid w:val="5D5C3773"/>
    <w:rsid w:val="5DEF4864"/>
    <w:rsid w:val="5DF92B63"/>
    <w:rsid w:val="5E113E74"/>
    <w:rsid w:val="5E7160BE"/>
    <w:rsid w:val="5EEC22C1"/>
    <w:rsid w:val="5F360FF9"/>
    <w:rsid w:val="5FC85A01"/>
    <w:rsid w:val="604D6EC6"/>
    <w:rsid w:val="60721D99"/>
    <w:rsid w:val="607A5BF8"/>
    <w:rsid w:val="610F1D3E"/>
    <w:rsid w:val="61184490"/>
    <w:rsid w:val="615A3826"/>
    <w:rsid w:val="618B2556"/>
    <w:rsid w:val="61EE1807"/>
    <w:rsid w:val="61F87633"/>
    <w:rsid w:val="622F60CC"/>
    <w:rsid w:val="62743293"/>
    <w:rsid w:val="627A4C0D"/>
    <w:rsid w:val="62814A40"/>
    <w:rsid w:val="62B64EEA"/>
    <w:rsid w:val="62D62698"/>
    <w:rsid w:val="62E25945"/>
    <w:rsid w:val="632276E3"/>
    <w:rsid w:val="64512069"/>
    <w:rsid w:val="64A97857"/>
    <w:rsid w:val="64C043EA"/>
    <w:rsid w:val="64EC2FB1"/>
    <w:rsid w:val="65510CF9"/>
    <w:rsid w:val="65DD0561"/>
    <w:rsid w:val="66964885"/>
    <w:rsid w:val="66D32A5A"/>
    <w:rsid w:val="66E9006C"/>
    <w:rsid w:val="671F3966"/>
    <w:rsid w:val="67294802"/>
    <w:rsid w:val="676018E0"/>
    <w:rsid w:val="67D60882"/>
    <w:rsid w:val="686A7C84"/>
    <w:rsid w:val="688C1F34"/>
    <w:rsid w:val="68DD6F72"/>
    <w:rsid w:val="68EA7E39"/>
    <w:rsid w:val="693064AC"/>
    <w:rsid w:val="695B0721"/>
    <w:rsid w:val="69EE3BEE"/>
    <w:rsid w:val="6A123249"/>
    <w:rsid w:val="6A1F6D3F"/>
    <w:rsid w:val="6A5B29BB"/>
    <w:rsid w:val="6A7E5825"/>
    <w:rsid w:val="6B0310B7"/>
    <w:rsid w:val="6B1E0F2D"/>
    <w:rsid w:val="6B453FCD"/>
    <w:rsid w:val="6B575F24"/>
    <w:rsid w:val="6B9A7BBD"/>
    <w:rsid w:val="6C31503D"/>
    <w:rsid w:val="6C6233B1"/>
    <w:rsid w:val="6C9371B0"/>
    <w:rsid w:val="6CF83057"/>
    <w:rsid w:val="6D3E284F"/>
    <w:rsid w:val="6D655D8C"/>
    <w:rsid w:val="6DCB3BD4"/>
    <w:rsid w:val="6DF05F0B"/>
    <w:rsid w:val="6DF775D1"/>
    <w:rsid w:val="6E1873FC"/>
    <w:rsid w:val="6E655102"/>
    <w:rsid w:val="6F360484"/>
    <w:rsid w:val="6F5B69EF"/>
    <w:rsid w:val="6F612B5C"/>
    <w:rsid w:val="6FE22CA4"/>
    <w:rsid w:val="705252BC"/>
    <w:rsid w:val="707D4986"/>
    <w:rsid w:val="71C2349B"/>
    <w:rsid w:val="7220114D"/>
    <w:rsid w:val="72642FC3"/>
    <w:rsid w:val="726C5AF0"/>
    <w:rsid w:val="72825D1E"/>
    <w:rsid w:val="728C362E"/>
    <w:rsid w:val="72E41E79"/>
    <w:rsid w:val="72EA09E5"/>
    <w:rsid w:val="72EF558D"/>
    <w:rsid w:val="73A7103F"/>
    <w:rsid w:val="73BF56DF"/>
    <w:rsid w:val="7404496A"/>
    <w:rsid w:val="742412AC"/>
    <w:rsid w:val="74424439"/>
    <w:rsid w:val="748952D8"/>
    <w:rsid w:val="749E77E1"/>
    <w:rsid w:val="74A02D99"/>
    <w:rsid w:val="74C07863"/>
    <w:rsid w:val="74FA7BDD"/>
    <w:rsid w:val="75526CED"/>
    <w:rsid w:val="756C7F9D"/>
    <w:rsid w:val="75814271"/>
    <w:rsid w:val="75AA749F"/>
    <w:rsid w:val="75B57598"/>
    <w:rsid w:val="75BE5E10"/>
    <w:rsid w:val="765409E1"/>
    <w:rsid w:val="766E0C63"/>
    <w:rsid w:val="76896E0F"/>
    <w:rsid w:val="76CE6788"/>
    <w:rsid w:val="76F62713"/>
    <w:rsid w:val="77853857"/>
    <w:rsid w:val="778909E0"/>
    <w:rsid w:val="77BB6878"/>
    <w:rsid w:val="77F305D5"/>
    <w:rsid w:val="78512737"/>
    <w:rsid w:val="78823223"/>
    <w:rsid w:val="78A7498C"/>
    <w:rsid w:val="78D7315C"/>
    <w:rsid w:val="797B493D"/>
    <w:rsid w:val="799F400B"/>
    <w:rsid w:val="79FC3FB5"/>
    <w:rsid w:val="7A0F65B9"/>
    <w:rsid w:val="7A3D21BC"/>
    <w:rsid w:val="7A466DAD"/>
    <w:rsid w:val="7A553DB9"/>
    <w:rsid w:val="7AE66904"/>
    <w:rsid w:val="7AEA5B5C"/>
    <w:rsid w:val="7B4E647F"/>
    <w:rsid w:val="7B652AE9"/>
    <w:rsid w:val="7BC65AD6"/>
    <w:rsid w:val="7BFC5958"/>
    <w:rsid w:val="7C224185"/>
    <w:rsid w:val="7C3F7BFE"/>
    <w:rsid w:val="7C583911"/>
    <w:rsid w:val="7C5A78C1"/>
    <w:rsid w:val="7CCE266D"/>
    <w:rsid w:val="7CD812CF"/>
    <w:rsid w:val="7D0F04B4"/>
    <w:rsid w:val="7D6B1221"/>
    <w:rsid w:val="7D9A6F62"/>
    <w:rsid w:val="7DD97808"/>
    <w:rsid w:val="7DE95FB5"/>
    <w:rsid w:val="7DFB6914"/>
    <w:rsid w:val="7E9D4AE4"/>
    <w:rsid w:val="7EC617D7"/>
    <w:rsid w:val="7EDA04DF"/>
    <w:rsid w:val="7F1631BE"/>
    <w:rsid w:val="7F180AFF"/>
    <w:rsid w:val="7F5016C0"/>
    <w:rsid w:val="7F957AAA"/>
    <w:rsid w:val="7FE065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3319</Words>
  <Characters>863</Characters>
  <Lines>7</Lines>
  <Paragraphs>8</Paragraphs>
  <TotalTime>0</TotalTime>
  <ScaleCrop>false</ScaleCrop>
  <LinksUpToDate>false</LinksUpToDate>
  <CharactersWithSpaces>4174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2017-12-13T08:21:00Z</dcterms:created>
  <dc:creator>Administrator</dc:creator>
  <cp:lastModifiedBy>len</cp:lastModifiedBy>
  <cp:lastPrinted>2017-12-27T12:43:00Z</cp:lastPrinted>
  <dcterms:modified xsi:type="dcterms:W3CDTF">2017-12-29T08:25:59Z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