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41" w:rsidRDefault="0099070C" w:rsidP="008D74D4">
      <w:pPr>
        <w:autoSpaceDE w:val="0"/>
        <w:spacing w:beforeLines="50" w:before="156" w:line="590" w:lineRule="exact"/>
        <w:jc w:val="center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杭州市</w:t>
      </w:r>
      <w:r w:rsidRPr="0099070C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2018年深化“最多跑一次”改革</w:t>
      </w: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 xml:space="preserve"> </w:t>
      </w:r>
      <w:r w:rsidRPr="0099070C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打造移</w:t>
      </w:r>
      <w:bookmarkStart w:id="0" w:name="_GoBack"/>
      <w:bookmarkEnd w:id="0"/>
      <w:r w:rsidRPr="0099070C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动办事之城</w:t>
      </w:r>
    </w:p>
    <w:p w:rsidR="001D64A0" w:rsidRPr="007D2E63" w:rsidRDefault="001D64A0" w:rsidP="008D74D4">
      <w:pPr>
        <w:adjustRightInd w:val="0"/>
        <w:snapToGrid w:val="0"/>
        <w:spacing w:beforeLines="50" w:before="156" w:afterLines="100" w:after="312" w:line="60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 w:rsidRPr="007D2E63">
        <w:rPr>
          <w:rFonts w:ascii="小标宋" w:eastAsia="小标宋" w:hAnsi="Times New Roman" w:cs="Times New Roman" w:hint="eastAsia"/>
          <w:sz w:val="44"/>
          <w:szCs w:val="44"/>
        </w:rPr>
        <w:t>责任分工表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2593"/>
        <w:gridCol w:w="4298"/>
        <w:gridCol w:w="1759"/>
        <w:gridCol w:w="2466"/>
        <w:gridCol w:w="1760"/>
      </w:tblGrid>
      <w:tr w:rsidR="00976DA8" w:rsidRPr="00047765" w:rsidTr="008D74D4">
        <w:tc>
          <w:tcPr>
            <w:tcW w:w="776" w:type="dxa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8D74D4">
              <w:rPr>
                <w:rFonts w:ascii="楷体" w:eastAsia="楷体" w:hAnsi="楷体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593" w:type="dxa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8D74D4">
              <w:rPr>
                <w:rFonts w:ascii="楷体" w:eastAsia="楷体" w:hAnsi="楷体" w:cs="Times New Roman" w:hint="eastAsia"/>
                <w:sz w:val="32"/>
                <w:szCs w:val="32"/>
              </w:rPr>
              <w:t>事项</w:t>
            </w:r>
          </w:p>
        </w:tc>
        <w:tc>
          <w:tcPr>
            <w:tcW w:w="4298" w:type="dxa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8D74D4">
              <w:rPr>
                <w:rFonts w:ascii="楷体" w:eastAsia="楷体" w:hAnsi="楷体" w:cs="Times New Roman" w:hint="eastAsia"/>
                <w:sz w:val="32"/>
                <w:szCs w:val="32"/>
              </w:rPr>
              <w:t>具体要求</w:t>
            </w:r>
          </w:p>
        </w:tc>
        <w:tc>
          <w:tcPr>
            <w:tcW w:w="1759" w:type="dxa"/>
            <w:vAlign w:val="center"/>
          </w:tcPr>
          <w:p w:rsidR="00231741" w:rsidRPr="008D74D4" w:rsidRDefault="0099070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sz w:val="32"/>
                <w:szCs w:val="32"/>
              </w:rPr>
              <w:t>牵头</w:t>
            </w:r>
            <w:r w:rsidR="00F01A8C" w:rsidRPr="008D74D4">
              <w:rPr>
                <w:rFonts w:ascii="楷体" w:eastAsia="楷体" w:hAnsi="楷体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2466" w:type="dxa"/>
            <w:vAlign w:val="center"/>
          </w:tcPr>
          <w:p w:rsidR="00231741" w:rsidRPr="008D74D4" w:rsidRDefault="0099070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sz w:val="32"/>
                <w:szCs w:val="32"/>
              </w:rPr>
              <w:t>责任</w:t>
            </w:r>
            <w:r w:rsidR="00F01A8C" w:rsidRPr="008D74D4">
              <w:rPr>
                <w:rFonts w:ascii="楷体" w:eastAsia="楷体" w:hAnsi="楷体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1760" w:type="dxa"/>
            <w:vAlign w:val="center"/>
          </w:tcPr>
          <w:p w:rsidR="00231741" w:rsidRPr="008D74D4" w:rsidRDefault="00DB1DA4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sz w:val="32"/>
                <w:szCs w:val="32"/>
              </w:rPr>
              <w:t>备注</w:t>
            </w:r>
          </w:p>
        </w:tc>
      </w:tr>
      <w:tr w:rsidR="00376897" w:rsidRPr="00047765" w:rsidTr="008D74D4">
        <w:trPr>
          <w:trHeight w:val="489"/>
        </w:trPr>
        <w:tc>
          <w:tcPr>
            <w:tcW w:w="776" w:type="dxa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876" w:type="dxa"/>
            <w:gridSpan w:val="5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强化标准化体系建设，为打造移动办事之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城做好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顶层设计</w:t>
            </w:r>
          </w:p>
        </w:tc>
      </w:tr>
      <w:tr w:rsidR="00976DA8" w:rsidRPr="00047765" w:rsidTr="008D74D4">
        <w:tc>
          <w:tcPr>
            <w:tcW w:w="776" w:type="dxa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/>
                <w:sz w:val="28"/>
                <w:szCs w:val="28"/>
              </w:rPr>
              <w:t>1</w:t>
            </w:r>
          </w:p>
        </w:tc>
        <w:tc>
          <w:tcPr>
            <w:tcW w:w="2593" w:type="dxa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事项清单标准化</w:t>
            </w:r>
          </w:p>
        </w:tc>
        <w:tc>
          <w:tcPr>
            <w:tcW w:w="4298" w:type="dxa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6月底前形成统一规范的企业和群众到政府办事事项目录清单。</w:t>
            </w:r>
          </w:p>
        </w:tc>
        <w:tc>
          <w:tcPr>
            <w:tcW w:w="1759" w:type="dxa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市编办</w:t>
            </w:r>
          </w:p>
        </w:tc>
        <w:tc>
          <w:tcPr>
            <w:tcW w:w="2466" w:type="dxa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</w:t>
            </w:r>
            <w:r w:rsidR="00CC6AA6">
              <w:rPr>
                <w:rFonts w:ascii="楷体" w:eastAsia="楷体" w:hAnsi="楷体" w:cs="Times New Roman" w:hint="eastAsia"/>
                <w:sz w:val="28"/>
                <w:szCs w:val="28"/>
              </w:rPr>
              <w:t>、开发区、集聚区</w:t>
            </w:r>
          </w:p>
        </w:tc>
        <w:tc>
          <w:tcPr>
            <w:tcW w:w="1760" w:type="dxa"/>
            <w:vAlign w:val="center"/>
          </w:tcPr>
          <w:p w:rsidR="00231741" w:rsidRPr="008D74D4" w:rsidRDefault="009B351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市跑改办牵头考核</w:t>
            </w:r>
          </w:p>
        </w:tc>
      </w:tr>
      <w:tr w:rsidR="00CC6AA6" w:rsidRPr="00047765" w:rsidTr="008D74D4">
        <w:tc>
          <w:tcPr>
            <w:tcW w:w="776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/>
                <w:sz w:val="28"/>
                <w:szCs w:val="28"/>
              </w:rPr>
              <w:t>2</w:t>
            </w:r>
          </w:p>
        </w:tc>
        <w:tc>
          <w:tcPr>
            <w:tcW w:w="2593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流程再造标准化</w:t>
            </w:r>
          </w:p>
        </w:tc>
        <w:tc>
          <w:tcPr>
            <w:tcW w:w="4298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分领域梳理联办事项及流程，加快推进跨部门联办实施工作，6月底前实现实体大厅联办，10月底前实现信息系统打通。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市审管办</w:t>
            </w:r>
          </w:p>
        </w:tc>
        <w:tc>
          <w:tcPr>
            <w:tcW w:w="2466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F4ABE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8F4ABE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sz w:val="28"/>
                <w:szCs w:val="28"/>
              </w:rPr>
              <w:t>市审管办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牵头考核</w:t>
            </w:r>
          </w:p>
        </w:tc>
      </w:tr>
      <w:tr w:rsidR="00CC6AA6" w:rsidRPr="00047765" w:rsidTr="008D74D4">
        <w:tc>
          <w:tcPr>
            <w:tcW w:w="776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３</w:t>
            </w:r>
          </w:p>
        </w:tc>
        <w:tc>
          <w:tcPr>
            <w:tcW w:w="2593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办事指南标准化</w:t>
            </w:r>
          </w:p>
        </w:tc>
        <w:tc>
          <w:tcPr>
            <w:tcW w:w="4298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6月底前完成全市（包括乡镇街道）统一规范办事指南编制工作，年底前完成事项标准化手册编制工作，完善和推广电子化办事指南。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市审管办</w:t>
            </w:r>
          </w:p>
        </w:tc>
        <w:tc>
          <w:tcPr>
            <w:tcW w:w="2466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F4ABE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8F4ABE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sz w:val="28"/>
                <w:szCs w:val="28"/>
              </w:rPr>
              <w:t>市审管办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牵头考核</w:t>
            </w:r>
          </w:p>
        </w:tc>
      </w:tr>
      <w:tr w:rsidR="00CC6AA6" w:rsidRPr="00047765" w:rsidTr="008D74D4">
        <w:tc>
          <w:tcPr>
            <w:tcW w:w="776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４</w:t>
            </w:r>
          </w:p>
        </w:tc>
        <w:tc>
          <w:tcPr>
            <w:tcW w:w="2593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动态调整规范化</w:t>
            </w:r>
          </w:p>
        </w:tc>
        <w:tc>
          <w:tcPr>
            <w:tcW w:w="4298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建立健全办事指南和事项标准化动态调整机制。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市编办</w:t>
            </w:r>
          </w:p>
        </w:tc>
        <w:tc>
          <w:tcPr>
            <w:tcW w:w="2466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F4ABE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8F4ABE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市跑改办牵头考核</w:t>
            </w:r>
          </w:p>
        </w:tc>
      </w:tr>
      <w:tr w:rsidR="00424059" w:rsidRPr="00047765" w:rsidTr="008D74D4">
        <w:trPr>
          <w:trHeight w:val="552"/>
        </w:trPr>
        <w:tc>
          <w:tcPr>
            <w:tcW w:w="776" w:type="dxa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12876" w:type="dxa"/>
            <w:gridSpan w:val="5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加强便民服务体系建设，为打造移动办事之城营造优良环境</w:t>
            </w:r>
          </w:p>
        </w:tc>
      </w:tr>
      <w:tr w:rsidR="00CC6AA6" w:rsidRPr="00047765" w:rsidTr="008D74D4">
        <w:trPr>
          <w:trHeight w:val="1268"/>
        </w:trPr>
        <w:tc>
          <w:tcPr>
            <w:tcW w:w="776" w:type="dxa"/>
            <w:vMerge w:val="restart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５</w:t>
            </w:r>
          </w:p>
        </w:tc>
        <w:tc>
          <w:tcPr>
            <w:tcW w:w="2593" w:type="dxa"/>
            <w:vMerge w:val="restart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提高咨询服务质量</w:t>
            </w:r>
          </w:p>
        </w:tc>
        <w:tc>
          <w:tcPr>
            <w:tcW w:w="4298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做好</w:t>
            </w:r>
            <w:r w:rsidRPr="008D74D4">
              <w:rPr>
                <w:rFonts w:ascii="楷体" w:eastAsia="楷体" w:hAnsi="楷体" w:cs="Times New Roman"/>
                <w:sz w:val="28"/>
                <w:szCs w:val="28"/>
              </w:rPr>
              <w:t xml:space="preserve"> 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“一号问”工作，完善知识库建设，加强受话人员培训，年底前实现即时解答率80%以上。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/>
                <w:sz w:val="28"/>
                <w:szCs w:val="28"/>
              </w:rPr>
              <w:t>市信访局</w:t>
            </w:r>
          </w:p>
        </w:tc>
        <w:tc>
          <w:tcPr>
            <w:tcW w:w="2466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市跑改办牵头考核</w:t>
            </w:r>
          </w:p>
        </w:tc>
      </w:tr>
      <w:tr w:rsidR="00CC6AA6" w:rsidRPr="00047765" w:rsidTr="008D74D4">
        <w:trPr>
          <w:trHeight w:val="1559"/>
        </w:trPr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做好“一网答”工作，加快智能应答系统建设，年底前实现浙江政务服务网杭州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版块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“最多跑一次在线帮办服务”24小时实时在线互动。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/>
                <w:sz w:val="28"/>
                <w:szCs w:val="28"/>
              </w:rPr>
              <w:t>市信访局</w:t>
            </w:r>
          </w:p>
        </w:tc>
        <w:tc>
          <w:tcPr>
            <w:tcW w:w="2466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市跑改办牵头考核</w:t>
            </w:r>
          </w:p>
        </w:tc>
      </w:tr>
      <w:tr w:rsidR="00CC6AA6" w:rsidRPr="00047765" w:rsidTr="008D74D4">
        <w:trPr>
          <w:trHeight w:val="1251"/>
        </w:trPr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做好“一网查”方面，建立健全网站信息动态更新机制，确保所公布信息的准确性、及时性。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市数据资源局</w:t>
            </w:r>
          </w:p>
        </w:tc>
        <w:tc>
          <w:tcPr>
            <w:tcW w:w="2466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市数据资源局牵头考核</w:t>
            </w:r>
          </w:p>
        </w:tc>
      </w:tr>
      <w:tr w:rsidR="00CC6AA6" w:rsidRPr="00047765" w:rsidTr="008D74D4">
        <w:trPr>
          <w:trHeight w:val="1978"/>
        </w:trPr>
        <w:tc>
          <w:tcPr>
            <w:tcW w:w="776" w:type="dxa"/>
            <w:vMerge w:val="restart"/>
            <w:vAlign w:val="center"/>
          </w:tcPr>
          <w:p w:rsidR="00F01A8C" w:rsidRPr="008D74D4" w:rsidRDefault="00A828E5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2593" w:type="dxa"/>
            <w:vMerge w:val="restart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科学配置服务能级</w:t>
            </w:r>
          </w:p>
        </w:tc>
        <w:tc>
          <w:tcPr>
            <w:tcW w:w="4298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规范市、区（县、市）行政服务中心和乡镇（街道）、村（社区）便民服务站（点）受理事项。逐步推进公民个人办事事项向乡镇（街道）、村（社区）便民服务点延伸。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市审管办</w:t>
            </w:r>
          </w:p>
        </w:tc>
        <w:tc>
          <w:tcPr>
            <w:tcW w:w="2466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市审管办牵头考核</w:t>
            </w:r>
          </w:p>
        </w:tc>
      </w:tr>
      <w:tr w:rsidR="00CC6AA6" w:rsidRPr="00047765" w:rsidTr="008D74D4">
        <w:trPr>
          <w:trHeight w:val="1130"/>
        </w:trPr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6月底前全面建成市、区（县、市）行政服务中心网络、微信、电话预约服务体系。</w:t>
            </w:r>
            <w:r w:rsidRPr="008D74D4">
              <w:rPr>
                <w:rFonts w:ascii="楷体" w:eastAsia="楷体" w:hAnsi="楷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市审管办</w:t>
            </w:r>
          </w:p>
        </w:tc>
        <w:tc>
          <w:tcPr>
            <w:tcW w:w="2466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市审管办牵头考核</w:t>
            </w:r>
          </w:p>
        </w:tc>
      </w:tr>
      <w:tr w:rsidR="00CC6AA6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/>
                <w:sz w:val="28"/>
                <w:szCs w:val="28"/>
              </w:rPr>
              <w:t>9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月底前，按照“应进尽进”的原则，推进各类办事事项向行政服务中心集中全进驻。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市审管办</w:t>
            </w:r>
          </w:p>
        </w:tc>
        <w:tc>
          <w:tcPr>
            <w:tcW w:w="2466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市审管办牵</w:t>
            </w:r>
            <w:r w:rsidR="00CC6AA6">
              <w:rPr>
                <w:rFonts w:ascii="楷体" w:eastAsia="楷体" w:hAnsi="楷体" w:cs="Times New Roman" w:hint="eastAsia"/>
                <w:sz w:val="28"/>
                <w:szCs w:val="28"/>
              </w:rPr>
              <w:t>头考核</w:t>
            </w:r>
          </w:p>
        </w:tc>
      </w:tr>
      <w:tr w:rsidR="00CC6AA6" w:rsidRPr="00047765" w:rsidTr="008D74D4">
        <w:tc>
          <w:tcPr>
            <w:tcW w:w="776" w:type="dxa"/>
            <w:vAlign w:val="center"/>
          </w:tcPr>
          <w:p w:rsidR="00F01A8C" w:rsidRPr="008D74D4" w:rsidRDefault="00A828E5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593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提高窗口服务水平</w:t>
            </w:r>
          </w:p>
        </w:tc>
        <w:tc>
          <w:tcPr>
            <w:tcW w:w="4298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/>
                <w:bCs/>
                <w:sz w:val="28"/>
                <w:szCs w:val="28"/>
              </w:rPr>
              <w:t>加强窗口工作人员业务能力和服务能力培训</w:t>
            </w:r>
            <w:r w:rsidRPr="008D74D4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，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完善进驻中心人员全流程绩效管理，每季度对窗口人员进行绩效评价，并将评价结果与</w:t>
            </w:r>
            <w:r w:rsidRPr="008D74D4">
              <w:rPr>
                <w:rFonts w:ascii="楷体" w:eastAsia="楷体" w:hAnsi="楷体" w:cs="Times New Roman"/>
                <w:bCs/>
                <w:sz w:val="28"/>
                <w:szCs w:val="28"/>
              </w:rPr>
              <w:t>绩效奖励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挂钩</w:t>
            </w:r>
            <w:r w:rsidRPr="008D74D4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。</w:t>
            </w:r>
            <w:r w:rsidRPr="008D74D4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充分利用“互联网+”技术，结合“移动办”，提高窗口办事便捷度。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市审管办</w:t>
            </w:r>
          </w:p>
        </w:tc>
        <w:tc>
          <w:tcPr>
            <w:tcW w:w="2466" w:type="dxa"/>
            <w:vAlign w:val="center"/>
          </w:tcPr>
          <w:p w:rsidR="00F01A8C" w:rsidRPr="008D74D4" w:rsidRDefault="00CC6AA6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市审管办牵头考核</w:t>
            </w:r>
          </w:p>
        </w:tc>
      </w:tr>
      <w:tr w:rsidR="00A21A1F" w:rsidRPr="00047765" w:rsidTr="008D74D4">
        <w:trPr>
          <w:trHeight w:val="585"/>
        </w:trPr>
        <w:tc>
          <w:tcPr>
            <w:tcW w:w="776" w:type="dxa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三</w:t>
            </w:r>
          </w:p>
        </w:tc>
        <w:tc>
          <w:tcPr>
            <w:tcW w:w="12876" w:type="dxa"/>
            <w:gridSpan w:val="5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加快数据归集共享使用，为打造移动办事之城提供技术支撑</w:t>
            </w:r>
          </w:p>
        </w:tc>
      </w:tr>
      <w:tr w:rsidR="00E83F51" w:rsidRPr="00047765" w:rsidTr="008D74D4">
        <w:tc>
          <w:tcPr>
            <w:tcW w:w="776" w:type="dxa"/>
            <w:vMerge w:val="restart"/>
            <w:vAlign w:val="center"/>
          </w:tcPr>
          <w:p w:rsidR="00F01A8C" w:rsidRPr="008D74D4" w:rsidRDefault="00A828E5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8</w:t>
            </w:r>
          </w:p>
        </w:tc>
        <w:tc>
          <w:tcPr>
            <w:tcW w:w="2593" w:type="dxa"/>
            <w:vMerge w:val="restart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加快数据归集应用</w:t>
            </w: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年底前，实现“最多跑一次”改革相关数据归集15亿条以上</w:t>
            </w:r>
            <w:r w:rsidR="00DB1DA4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,</w:t>
            </w:r>
            <w:r w:rsidRPr="008D74D4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实现数据批量交换共享12亿条以上，发布接口调用服务500个以上，调用次数2000万次以上，发布页面查询服务200项以上，访问次数100万次以上。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市数据资源局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市数据资源局</w:t>
            </w:r>
            <w:r w:rsidR="00E83F51">
              <w:rPr>
                <w:rFonts w:ascii="楷体" w:eastAsia="楷体" w:hAnsi="楷体" w:cs="Times New Roman" w:hint="eastAsia"/>
                <w:sz w:val="28"/>
                <w:szCs w:val="28"/>
              </w:rPr>
              <w:t>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11月底前</w:t>
            </w:r>
            <w:r w:rsidRPr="008D74D4">
              <w:rPr>
                <w:rFonts w:ascii="楷体" w:eastAsia="楷体" w:hAnsi="楷体" w:cs="Times New Roman"/>
                <w:sz w:val="28"/>
                <w:szCs w:val="28"/>
              </w:rPr>
              <w:t>发布政务数据资源目录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市数据资源局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市数据资源局牵头考核</w:t>
            </w:r>
          </w:p>
        </w:tc>
      </w:tr>
      <w:tr w:rsidR="00E83F51" w:rsidRPr="00047765" w:rsidTr="008D74D4">
        <w:trPr>
          <w:trHeight w:val="835"/>
        </w:trPr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按“一件事”标准推进数据归集，年底前实现“一件事”数据无条件归集。强化与省数管中心的沟通协调机制，实现国家级垂管系统数据联通共享零突破，实现省级垂管系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统数据联通共享10个以上，9月底前将数据共享至区、县（市）和开发区、集聚区、西湖风景名胜区。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市数据资源局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市数据资源局牵头考核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全面发挥基础数据作用，进一步完善人口、法人、征信、电子证照数据归集，建立健全办事材料共享库，年底前实现按需归集率100%、共享使用率100%。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市数据资源局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市数据资源局牵头考核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全面推行电子归档，健全电子文件归档移交、长久保存和共享利用统一平台，年底前实现全市“最多跑一次”</w:t>
            </w:r>
            <w:r w:rsidR="00CD750C">
              <w:rPr>
                <w:rFonts w:ascii="楷体" w:eastAsia="楷体" w:hAnsi="楷体" w:cs="Times New Roman" w:hint="eastAsia"/>
                <w:sz w:val="28"/>
                <w:szCs w:val="28"/>
              </w:rPr>
              <w:t>改革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事项电子文件归档全覆盖。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市档案局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市数据资源局牵头考核</w:t>
            </w:r>
          </w:p>
        </w:tc>
      </w:tr>
      <w:tr w:rsidR="00E83F51" w:rsidRPr="00047765" w:rsidTr="008D74D4">
        <w:tc>
          <w:tcPr>
            <w:tcW w:w="776" w:type="dxa"/>
            <w:vMerge w:val="restart"/>
            <w:vAlign w:val="center"/>
          </w:tcPr>
          <w:p w:rsidR="00F01A8C" w:rsidRPr="008D74D4" w:rsidRDefault="00A828E5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2593" w:type="dxa"/>
            <w:vMerge w:val="restart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加快移动办事终端建设</w:t>
            </w: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加快“一窗受理”平台的对接,实现四级便民服务体系“一窗受理”平台全覆盖，6月底前完成市、区县（市）办件量前100事项所在系统与平台的对接，年底前实现市、区县（市）80%以上事项所在系统与“一窗受理”平台的对接，并向乡镇（街道）、村（社区）基层便民服务点的延伸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市数据资源局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市数据资源局牵头考核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建设集咨询、办事、评价等功能于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一体的“杭州办事”APP和相对固定的综合自助办事服务机</w:t>
            </w:r>
            <w:r w:rsidR="00CD750C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5月底前，“杭州办事”APP上线运行；6月底前，市本级和各区、县（市）行政服务中心以及乡镇（街道）便民服务中心（点）的综合自助办事服务机投入运行；年底前，综合自助办事服务机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向具备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条件的村（社区）及人流密集公共场所延伸。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市审管办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市审管办</w:t>
            </w:r>
            <w:r w:rsidR="00E83F51">
              <w:rPr>
                <w:rFonts w:ascii="楷体" w:eastAsia="楷体" w:hAnsi="楷体" w:cs="Times New Roman" w:hint="eastAsia"/>
                <w:sz w:val="28"/>
                <w:szCs w:val="28"/>
              </w:rPr>
              <w:t>牵</w:t>
            </w:r>
            <w:r w:rsidR="00E83F51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扩大移动可办范围，年底前实现70%公民个人办事高频事项APP移动可办，综合自助办事服务机可办理公民个人办事高频事项不少于100项，“企业名称自主申报”“小微企业设立申请”“个体工商户设立申请”“企业登记信息查询”等商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事登记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事项实现移动可办;“杭州办事”APP和综合自助办事服务机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除办事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审批外，还具备咨询、预约、申请、受理、进度查询、公共支付、评价等功能。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市审管办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市审管办牵头考核</w:t>
            </w:r>
          </w:p>
        </w:tc>
      </w:tr>
      <w:tr w:rsidR="00E83F51" w:rsidRPr="00047765" w:rsidTr="008D74D4">
        <w:tc>
          <w:tcPr>
            <w:tcW w:w="776" w:type="dxa"/>
            <w:vMerge w:val="restart"/>
            <w:vAlign w:val="center"/>
          </w:tcPr>
          <w:p w:rsidR="00F01A8C" w:rsidRPr="008D74D4" w:rsidRDefault="00A828E5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10</w:t>
            </w:r>
          </w:p>
        </w:tc>
        <w:tc>
          <w:tcPr>
            <w:tcW w:w="2593" w:type="dxa"/>
            <w:vMerge w:val="restart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加快统一公共支付平台的应用</w:t>
            </w: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实现公共支付再扩面，提高支付平台接入质量和接入效率，11月底前实现90%以上非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税收入执收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单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位接入公共支付平台。</w:t>
            </w:r>
          </w:p>
        </w:tc>
        <w:tc>
          <w:tcPr>
            <w:tcW w:w="1759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市财政局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CD750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市数据资源局牵头考核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继续推进公民个人缴费快捷支付模式，5月底前将公共支付功能纳入综合自助服务机，年底前实现全市公共支付网上缴款率95%以上、移动支付率90%以上。</w:t>
            </w:r>
          </w:p>
        </w:tc>
        <w:tc>
          <w:tcPr>
            <w:tcW w:w="1759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市财政局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CD750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市数据资源局牵头考核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推进财政票据电子化改革创新，11月底前有序扩大集成取票范围。</w:t>
            </w:r>
          </w:p>
        </w:tc>
        <w:tc>
          <w:tcPr>
            <w:tcW w:w="1759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市财政局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CD750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市数据资源局牵头考核</w:t>
            </w:r>
          </w:p>
        </w:tc>
      </w:tr>
      <w:tr w:rsidR="00A21A1F" w:rsidRPr="00047765" w:rsidTr="008D74D4">
        <w:trPr>
          <w:trHeight w:val="606"/>
        </w:trPr>
        <w:tc>
          <w:tcPr>
            <w:tcW w:w="776" w:type="dxa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四</w:t>
            </w:r>
          </w:p>
        </w:tc>
        <w:tc>
          <w:tcPr>
            <w:tcW w:w="12876" w:type="dxa"/>
            <w:gridSpan w:val="5"/>
            <w:vAlign w:val="center"/>
          </w:tcPr>
          <w:p w:rsidR="00231741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推进重点领域改革再突破，为打造移动办事之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城增加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特色亮点</w:t>
            </w:r>
          </w:p>
        </w:tc>
      </w:tr>
      <w:tr w:rsidR="00E83F51" w:rsidRPr="00047765" w:rsidTr="008D74D4">
        <w:tc>
          <w:tcPr>
            <w:tcW w:w="776" w:type="dxa"/>
            <w:vMerge w:val="restart"/>
            <w:vAlign w:val="center"/>
          </w:tcPr>
          <w:p w:rsidR="00F01A8C" w:rsidRPr="008D74D4" w:rsidRDefault="00A828E5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11</w:t>
            </w:r>
          </w:p>
        </w:tc>
        <w:tc>
          <w:tcPr>
            <w:tcW w:w="2593" w:type="dxa"/>
            <w:vMerge w:val="restart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优化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提升商事登记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“一网通”</w:t>
            </w: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“一网通”升级扩面，2月底前建成“一网通”2.0版并正式运行，实现市及市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以下商事登记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领域跨部门“多证合一”“证照联办”全覆盖；9月底前建成“一网通”3.0版，重点破解变更、注销、迁移、章程备案等难题，实现所有商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事登记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事项“一网通”全覆盖。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市市场监管局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市市场监管局牵头考核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推广“证照分离”改革，按照国务院要求，研究备案制、告知承诺制等创新举措，在6个国家级开发区试点“证照分离”改革的基础上，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6月底在全市推广；高质量、高标准完成国务院、国家工商总局部署开展的“压缩企业开办时间至8.5天”试点城市专项工作任务。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市市场监管局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B30417">
              <w:rPr>
                <w:rFonts w:ascii="楷体" w:eastAsia="楷体" w:hAnsi="楷体" w:cs="Times New Roman" w:hint="eastAsia"/>
                <w:sz w:val="28"/>
                <w:szCs w:val="28"/>
              </w:rPr>
              <w:t>市市场监管局牵头考核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加强批管联动，以企业信用联动监管平台为依托，做好登记信息“双告知”、行政许可“双反馈”，9月底前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完成商事登记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“一网通”系统和企业信用联动监管平台的打通对接，实现事中事后“一网管”。</w:t>
            </w:r>
          </w:p>
        </w:tc>
        <w:tc>
          <w:tcPr>
            <w:tcW w:w="1759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市市场监管局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B30417">
              <w:rPr>
                <w:rFonts w:ascii="楷体" w:eastAsia="楷体" w:hAnsi="楷体" w:cs="Times New Roman" w:hint="eastAsia"/>
                <w:sz w:val="28"/>
                <w:szCs w:val="28"/>
              </w:rPr>
              <w:t>市市场监管局牵头考核</w:t>
            </w:r>
          </w:p>
        </w:tc>
      </w:tr>
      <w:tr w:rsidR="00E83F51" w:rsidRPr="00047765" w:rsidTr="008D74D4">
        <w:tc>
          <w:tcPr>
            <w:tcW w:w="776" w:type="dxa"/>
            <w:vMerge w:val="restart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/>
                <w:sz w:val="28"/>
                <w:szCs w:val="28"/>
              </w:rPr>
              <w:t>1</w:t>
            </w:r>
            <w:r w:rsidR="00A828E5">
              <w:rPr>
                <w:rFonts w:ascii="楷体" w:eastAsia="楷体" w:hAnsi="楷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2593" w:type="dxa"/>
            <w:vMerge w:val="restart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优化提升不动产登记“60分钟”领证。</w:t>
            </w: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扩大服务内容，引导中介网上批量预审，拓展网上预约、网上支付、网上查询等服务功能，3月底前实现群众可在网上（包括手机）预约办理时间和办证材料预审核；涉及农村集体土地不动产登记的，将不动产登记网络向乡镇（街道）便民服务中心（点）延伸，实现群众办理农村集体土地不动产登记“就近办”、“跑一次”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市国土资源局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市国土资源局牵头考核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推动服务升级，整合各类不动产登记数据信息，优化系统功能，扩大单套住宅“60分钟领证”范围，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年底前实现全市登记事项承诺时间再整体缩短10%以上。</w:t>
            </w:r>
          </w:p>
        </w:tc>
        <w:tc>
          <w:tcPr>
            <w:tcW w:w="1759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市国土资源局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市国土资源局牵头考核</w:t>
            </w:r>
          </w:p>
        </w:tc>
      </w:tr>
      <w:tr w:rsidR="00E83F51" w:rsidRPr="00047765" w:rsidTr="008D74D4">
        <w:tc>
          <w:tcPr>
            <w:tcW w:w="776" w:type="dxa"/>
            <w:vMerge w:val="restart"/>
            <w:vAlign w:val="center"/>
          </w:tcPr>
          <w:p w:rsidR="00F01A8C" w:rsidRPr="008D74D4" w:rsidRDefault="00A828E5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93" w:type="dxa"/>
            <w:vMerge w:val="restart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优化提升投资项目审批领域改革。</w:t>
            </w: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压缩投资项目审批周期，年底前实现政府投资项目从立项至开工的审批时间控制在7个月之内，城中村改造项目控制在6个月之内，企业投资项目房地产开发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类控制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在5个月之内、产业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类控制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在4个月之内，实现一般企业投资项目开工前全流程审批时间“最多100天”。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市发改委</w:t>
            </w:r>
            <w:proofErr w:type="gramEnd"/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proofErr w:type="gramStart"/>
            <w:r w:rsidRPr="0075533C">
              <w:rPr>
                <w:rFonts w:ascii="楷体" w:eastAsia="楷体" w:hAnsi="楷体" w:cs="Times New Roman" w:hint="eastAsia"/>
                <w:sz w:val="28"/>
                <w:szCs w:val="28"/>
              </w:rPr>
              <w:t>市发改委</w:t>
            </w:r>
            <w:proofErr w:type="gramEnd"/>
            <w:r w:rsidRPr="0075533C">
              <w:rPr>
                <w:rFonts w:ascii="楷体" w:eastAsia="楷体" w:hAnsi="楷体" w:cs="Times New Roman" w:hint="eastAsia"/>
                <w:sz w:val="28"/>
                <w:szCs w:val="28"/>
              </w:rPr>
              <w:t>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推广模拟审批应用，依托三级代办协调服务，建立“模拟审批”项目跟踪督查机制，年底前实现全市80%以上的城中村改造项目纳入“模拟审批”流程。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市发改委</w:t>
            </w:r>
            <w:proofErr w:type="gramEnd"/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proofErr w:type="gramStart"/>
            <w:r w:rsidRPr="0075533C">
              <w:rPr>
                <w:rFonts w:ascii="楷体" w:eastAsia="楷体" w:hAnsi="楷体" w:cs="Times New Roman" w:hint="eastAsia"/>
                <w:sz w:val="28"/>
                <w:szCs w:val="28"/>
              </w:rPr>
              <w:t>市发改委</w:t>
            </w:r>
            <w:proofErr w:type="gramEnd"/>
            <w:r w:rsidRPr="0075533C">
              <w:rPr>
                <w:rFonts w:ascii="楷体" w:eastAsia="楷体" w:hAnsi="楷体" w:cs="Times New Roman" w:hint="eastAsia"/>
                <w:sz w:val="28"/>
                <w:szCs w:val="28"/>
              </w:rPr>
              <w:t>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加快推广应用投资项目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在线审批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监管平台（2.0版），年底前实现全市投资项目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在线审批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监管平台“四个百分百”工作。</w:t>
            </w:r>
          </w:p>
        </w:tc>
        <w:tc>
          <w:tcPr>
            <w:tcW w:w="1759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proofErr w:type="gramStart"/>
            <w:r w:rsidRPr="00AE5D19">
              <w:rPr>
                <w:rFonts w:ascii="楷体" w:eastAsia="楷体" w:hAnsi="楷体" w:cs="Times New Roman" w:hint="eastAsia"/>
                <w:sz w:val="28"/>
                <w:szCs w:val="28"/>
              </w:rPr>
              <w:t>市发改委</w:t>
            </w:r>
            <w:proofErr w:type="gramEnd"/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proofErr w:type="gramStart"/>
            <w:r w:rsidRPr="0075533C">
              <w:rPr>
                <w:rFonts w:ascii="楷体" w:eastAsia="楷体" w:hAnsi="楷体" w:cs="Times New Roman" w:hint="eastAsia"/>
                <w:sz w:val="28"/>
                <w:szCs w:val="28"/>
              </w:rPr>
              <w:t>市发改委</w:t>
            </w:r>
            <w:proofErr w:type="gramEnd"/>
            <w:r w:rsidRPr="0075533C">
              <w:rPr>
                <w:rFonts w:ascii="楷体" w:eastAsia="楷体" w:hAnsi="楷体" w:cs="Times New Roman" w:hint="eastAsia"/>
                <w:sz w:val="28"/>
                <w:szCs w:val="28"/>
              </w:rPr>
              <w:t>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深化“网上中介超市”，完善现有的服务事项目录、中介机构库、信用评价信息库，9月底前完成中介超市与投资项目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在线审批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监管平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台、信用杭州平台深度融合。</w:t>
            </w:r>
          </w:p>
        </w:tc>
        <w:tc>
          <w:tcPr>
            <w:tcW w:w="1759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proofErr w:type="gramStart"/>
            <w:r w:rsidRPr="00AE5D19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市发改委</w:t>
            </w:r>
            <w:proofErr w:type="gramEnd"/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proofErr w:type="gramStart"/>
            <w:r w:rsidRPr="0075533C">
              <w:rPr>
                <w:rFonts w:ascii="楷体" w:eastAsia="楷体" w:hAnsi="楷体" w:cs="Times New Roman" w:hint="eastAsia"/>
                <w:sz w:val="28"/>
                <w:szCs w:val="28"/>
              </w:rPr>
              <w:t>市发改委</w:t>
            </w:r>
            <w:proofErr w:type="gramEnd"/>
            <w:r w:rsidRPr="0075533C">
              <w:rPr>
                <w:rFonts w:ascii="楷体" w:eastAsia="楷体" w:hAnsi="楷体" w:cs="Times New Roman" w:hint="eastAsia"/>
                <w:sz w:val="28"/>
                <w:szCs w:val="28"/>
              </w:rPr>
              <w:t>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推广改革试点经验，逐步扩大承诺制改革试点范围，在完善“标准地”试点工作基础上，推行“区域能评、环评+区块能耗、环境标准”改革。</w:t>
            </w:r>
          </w:p>
        </w:tc>
        <w:tc>
          <w:tcPr>
            <w:tcW w:w="1759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proofErr w:type="gramStart"/>
            <w:r w:rsidRPr="00AE5D19">
              <w:rPr>
                <w:rFonts w:ascii="楷体" w:eastAsia="楷体" w:hAnsi="楷体" w:cs="Times New Roman" w:hint="eastAsia"/>
                <w:sz w:val="28"/>
                <w:szCs w:val="28"/>
              </w:rPr>
              <w:t>市发改委</w:t>
            </w:r>
            <w:proofErr w:type="gramEnd"/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市发改委</w:t>
            </w:r>
            <w:proofErr w:type="gramEnd"/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牵头考核</w:t>
            </w:r>
          </w:p>
        </w:tc>
      </w:tr>
      <w:tr w:rsidR="00E83F51" w:rsidRPr="00047765" w:rsidTr="008D74D4">
        <w:tc>
          <w:tcPr>
            <w:tcW w:w="776" w:type="dxa"/>
            <w:vMerge w:val="restart"/>
            <w:vAlign w:val="center"/>
          </w:tcPr>
          <w:p w:rsidR="00F01A8C" w:rsidRPr="008D74D4" w:rsidRDefault="00A828E5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14</w:t>
            </w:r>
          </w:p>
        </w:tc>
        <w:tc>
          <w:tcPr>
            <w:tcW w:w="2593" w:type="dxa"/>
            <w:vMerge w:val="restart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深化公安、民政、社保领域便民服务改革</w:t>
            </w: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深化公安便民服务改革。全面推进车辆注册登记业务“一次办结”，9月底前在全市交警车管办事网点设立购置税缴纳窗口或自助完税机，实现机动车注册登记与机动车辆购置税缴纳“一次办结”；加快推进车驾管业务办理便利化，探索体检换证邮政网点“一窗办理”；加快推进高技能人才进杭落户“一窗受理”，10月底前“引进人才居住证”办理实现人力社保和公安两部门联办；继续推进公安系统个人事项“移动办”、“就近办”，年底前实现公安系统户籍（居住证）、出入境等事项派出所（警务室）就近可办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市公安局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审改办</w:t>
            </w:r>
            <w:proofErr w:type="gramEnd"/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深化民政便民服务改革。推广应用社会组织登记管理“一窗受理”平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台，4月底前实现民政登记部门与各业务主管单位信息无缝对接，社会组织登记管理服务全流程网上联合审批；全面梳理困难群众救助服务事项，9月底前实现“低保”、“低边”等困难群众的救助事项联办。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市民政局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市</w:t>
            </w:r>
            <w:proofErr w:type="gramStart"/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审改办</w:t>
            </w:r>
            <w:proofErr w:type="gramEnd"/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深化社保便民服务改革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。在全市范围内推广企业退休人员退休审批联合办理；6月底前实现全市参保人员视同缴费年限认定、参保人员基本养老保险待遇资格确认、参保人员基本医疗保险退休待遇资格确认、新增退休人养老待遇核准支付、退休人员社会化管理等事项联办；9月底前完成相关业务系统改造，实现城乡居民基本医疗保险参保登记事项与市民卡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医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保卡功能开通业务的联办。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市人力社保局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</w:t>
            </w:r>
            <w:proofErr w:type="gramStart"/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审改办</w:t>
            </w:r>
            <w:proofErr w:type="gramEnd"/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牵头考核</w:t>
            </w:r>
          </w:p>
        </w:tc>
      </w:tr>
      <w:tr w:rsidR="00E83F51" w:rsidRPr="00047765" w:rsidTr="008D74D4">
        <w:tc>
          <w:tcPr>
            <w:tcW w:w="776" w:type="dxa"/>
            <w:vAlign w:val="center"/>
          </w:tcPr>
          <w:p w:rsidR="00F01A8C" w:rsidRPr="008D74D4" w:rsidRDefault="00A828E5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15</w:t>
            </w:r>
          </w:p>
        </w:tc>
        <w:tc>
          <w:tcPr>
            <w:tcW w:w="2593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全力支持桐庐县深化“最多跑一次”改革。</w:t>
            </w: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在桐庐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县改革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中，总结绿色通道试点经验，同步推进移动办事，提炼形成制度性设计。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市编办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="00E61FF9">
              <w:rPr>
                <w:rFonts w:ascii="楷体" w:eastAsia="楷体" w:hAnsi="楷体" w:cs="Times New Roman" w:hint="eastAsia"/>
                <w:sz w:val="28"/>
                <w:szCs w:val="28"/>
              </w:rPr>
              <w:t>桐庐县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市跑改办牵头考核</w:t>
            </w:r>
          </w:p>
        </w:tc>
      </w:tr>
      <w:tr w:rsidR="00E83F51" w:rsidRPr="00047765" w:rsidTr="008D74D4">
        <w:tc>
          <w:tcPr>
            <w:tcW w:w="776" w:type="dxa"/>
            <w:vMerge w:val="restart"/>
            <w:vAlign w:val="center"/>
          </w:tcPr>
          <w:p w:rsidR="00F01A8C" w:rsidRPr="008D74D4" w:rsidRDefault="00A828E5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16</w:t>
            </w:r>
          </w:p>
        </w:tc>
        <w:tc>
          <w:tcPr>
            <w:tcW w:w="2593" w:type="dxa"/>
            <w:vMerge w:val="restart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优化工作推进机制</w:t>
            </w: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强化组织领导。抽调骨干力量，组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建若干工作专班，实行实体化运作。市“跑改办”工作专班设在市编办，负责全市“最多跑一次”改革的制度设计、组织协调、事项目录梳理、督查考核、信息报送、宣传推广等工作；打造移动办事之城工作专班设在市审管办，具体负责打造移动办事之城和公民个人办事事项“最多跑一次”改革各项工作；数据归集共享工作专班设在市数据资源局，具体负责数据归集共享使用各项工作；商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事登记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改革工作专班设在市市场监管局，具体负责商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事登记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领域改革各项工作；投资项目审批领域改革工作专班设在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市发改委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，具体负责投资项目审批领域改革各项工作；不动产登记改革工作专班设在市国土资源局，具体负责不动产登记改革各项工作。其他领域改革工作专班设在各牵头单位。</w:t>
            </w:r>
          </w:p>
        </w:tc>
        <w:tc>
          <w:tcPr>
            <w:tcW w:w="1759" w:type="dxa"/>
            <w:vAlign w:val="center"/>
          </w:tcPr>
          <w:p w:rsidR="00F01A8C" w:rsidRPr="008D74D4" w:rsidRDefault="00E61FF9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市编办、市审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管办、市数据资源局、市市场监管局、</w:t>
            </w:r>
            <w:proofErr w:type="gramStart"/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市发改委</w:t>
            </w:r>
            <w:proofErr w:type="gramEnd"/>
            <w:r>
              <w:rPr>
                <w:rFonts w:ascii="楷体" w:eastAsia="楷体" w:hAnsi="楷体" w:cs="Times New Roman" w:hint="eastAsia"/>
                <w:sz w:val="28"/>
                <w:szCs w:val="28"/>
              </w:rPr>
              <w:t>、市国土资源局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市直各相关单位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0A128E">
              <w:rPr>
                <w:rFonts w:ascii="楷体" w:eastAsia="楷体" w:hAnsi="楷体" w:cs="Times New Roman" w:hint="eastAsia"/>
                <w:sz w:val="28"/>
                <w:szCs w:val="28"/>
              </w:rPr>
              <w:t>市跑改办牵</w:t>
            </w:r>
            <w:r w:rsidRPr="000A128E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完善信息报送制度。各工作专班工作推进情况定期上报市“最多跑一次”改革领导小组，市“跑改办”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工作专班负责做好信息的收集、整理和上传下达工作。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市</w:t>
            </w:r>
            <w:r w:rsidR="00E83F51">
              <w:rPr>
                <w:rFonts w:ascii="楷体" w:eastAsia="楷体" w:hAnsi="楷体" w:cs="Times New Roman" w:hint="eastAsia"/>
                <w:sz w:val="28"/>
                <w:szCs w:val="28"/>
              </w:rPr>
              <w:t>编办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0A128E">
              <w:rPr>
                <w:rFonts w:ascii="楷体" w:eastAsia="楷体" w:hAnsi="楷体" w:cs="Times New Roman" w:hint="eastAsia"/>
                <w:sz w:val="28"/>
                <w:szCs w:val="28"/>
              </w:rPr>
              <w:t>市跑改办牵头考核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完善社会参与机制。继续深化“一把手”体验改革、“党员陪跑”等活动，继续广泛征求“两代表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一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委员”等社会各界人士意见建议，动员社会各界参与改革，健全问题发现、整改和反馈的长效管理机制，向群众公开承诺重点问题限期整改。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</w:t>
            </w:r>
            <w:r w:rsidR="00E83F51">
              <w:rPr>
                <w:rFonts w:ascii="楷体" w:eastAsia="楷体" w:hAnsi="楷体" w:cs="Times New Roman" w:hint="eastAsia"/>
                <w:sz w:val="28"/>
                <w:szCs w:val="28"/>
              </w:rPr>
              <w:t>编办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0A128E">
              <w:rPr>
                <w:rFonts w:ascii="楷体" w:eastAsia="楷体" w:hAnsi="楷体" w:cs="Times New Roman" w:hint="eastAsia"/>
                <w:sz w:val="28"/>
                <w:szCs w:val="28"/>
              </w:rPr>
              <w:t>市跑改办牵头考核</w:t>
            </w:r>
          </w:p>
        </w:tc>
      </w:tr>
      <w:tr w:rsidR="00E83F51" w:rsidRPr="00047765" w:rsidTr="008D74D4">
        <w:tc>
          <w:tcPr>
            <w:tcW w:w="776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加强改革经验总结和宣传推广。总结提炼各地各部门的改革经验和特色亮点，及时上报并在全市推广，积极对外宣传改革成效。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</w:t>
            </w:r>
            <w:r w:rsidR="00E83F51">
              <w:rPr>
                <w:rFonts w:ascii="楷体" w:eastAsia="楷体" w:hAnsi="楷体" w:cs="Times New Roman" w:hint="eastAsia"/>
                <w:sz w:val="28"/>
                <w:szCs w:val="28"/>
              </w:rPr>
              <w:t>编办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DB1DA4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市跑改办牵头考核</w:t>
            </w:r>
          </w:p>
        </w:tc>
      </w:tr>
      <w:tr w:rsidR="00E83F51" w:rsidRPr="00047765" w:rsidTr="008D74D4">
        <w:tc>
          <w:tcPr>
            <w:tcW w:w="776" w:type="dxa"/>
            <w:vAlign w:val="center"/>
          </w:tcPr>
          <w:p w:rsidR="00F01A8C" w:rsidRPr="008D74D4" w:rsidRDefault="00A828E5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17</w:t>
            </w:r>
          </w:p>
        </w:tc>
        <w:tc>
          <w:tcPr>
            <w:tcW w:w="2593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改进考核评价机制</w:t>
            </w: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进一步优化考核评价机制，充分发挥考核“指挥棒”作用。在统一考核评价标准的基础上，将具体改革推进的考核管理职责落实到各项专题改革牵头部门，由各牵头部门按照“一件事”的标准要求对相关单位进行日常考核管理。采用平时考核与年终考核相结合，实行月度通报机制。考核结果经市跑改办汇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总后提交市考评办，由市考评办统一计入年终综合考核得分。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市</w:t>
            </w:r>
            <w:r w:rsidR="005523A9">
              <w:rPr>
                <w:rFonts w:ascii="楷体" w:eastAsia="楷体" w:hAnsi="楷体" w:cs="Times New Roman" w:hint="eastAsia"/>
                <w:sz w:val="28"/>
                <w:szCs w:val="28"/>
              </w:rPr>
              <w:t>编办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</w:t>
            </w:r>
            <w:r w:rsidR="005523A9">
              <w:rPr>
                <w:rFonts w:ascii="楷体" w:eastAsia="楷体" w:hAnsi="楷体" w:cs="Times New Roman" w:hint="eastAsia"/>
                <w:sz w:val="28"/>
                <w:szCs w:val="28"/>
              </w:rPr>
              <w:t>,</w:t>
            </w: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61FF9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市跑改办牵头考核</w:t>
            </w:r>
          </w:p>
        </w:tc>
      </w:tr>
      <w:tr w:rsidR="00E83F51" w:rsidRPr="00047765" w:rsidTr="008D74D4">
        <w:tc>
          <w:tcPr>
            <w:tcW w:w="776" w:type="dxa"/>
            <w:vMerge w:val="restart"/>
            <w:vAlign w:val="center"/>
          </w:tcPr>
          <w:p w:rsidR="00F01A8C" w:rsidRPr="008D74D4" w:rsidRDefault="00A828E5" w:rsidP="008D74D4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93" w:type="dxa"/>
            <w:vMerge w:val="restart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完善监管保障机制</w:t>
            </w: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加强事中事后监管，推进抽查监管全程信息化</w:t>
            </w:r>
            <w:r w:rsidR="005523A9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在“双随机、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一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公开”监管方面，年底前实现抽查事项100%全覆盖；在“部门联合、随机抽查、按标监管”的“一次到位”机制建设方面，6月底前率先试点市场监管、环境保护、安全生产、文化等领域联合抽查。</w:t>
            </w:r>
          </w:p>
        </w:tc>
        <w:tc>
          <w:tcPr>
            <w:tcW w:w="1759" w:type="dxa"/>
            <w:vAlign w:val="center"/>
          </w:tcPr>
          <w:p w:rsidR="00F01A8C" w:rsidRPr="008D74D4" w:rsidRDefault="005523A9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市编办</w:t>
            </w:r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市直各相关单位、各区、县（市）、开发区、集聚区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61FF9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市跑改办牵头考核</w:t>
            </w:r>
          </w:p>
        </w:tc>
      </w:tr>
      <w:tr w:rsidR="00E83F51" w:rsidRPr="00047765" w:rsidTr="008D74D4">
        <w:tc>
          <w:tcPr>
            <w:tcW w:w="776" w:type="dxa"/>
            <w:vMerge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F01A8C" w:rsidRPr="008D74D4" w:rsidRDefault="00F01A8C" w:rsidP="008D74D4">
            <w:pPr>
              <w:adjustRightInd w:val="0"/>
              <w:snapToGrid w:val="0"/>
              <w:spacing w:beforeLines="50" w:before="156"/>
              <w:rPr>
                <w:rFonts w:ascii="楷体" w:eastAsia="楷体" w:hAnsi="楷体" w:cs="Times New Roman"/>
                <w:sz w:val="28"/>
                <w:szCs w:val="28"/>
              </w:rPr>
            </w:pPr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强化信用激励约束，探索试行信用信息嵌入审批管理，6月底前在投资项目审批领域和商</w:t>
            </w: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事登记</w:t>
            </w:r>
            <w:proofErr w:type="gramEnd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领域率先试点“事前管标准，事中管达标，事后管信用”的告知承诺制；年底前，实现将法人、公民承诺的兑现及核查情况纳入信用管理信息平台，强化信用约束机制。</w:t>
            </w:r>
          </w:p>
        </w:tc>
        <w:tc>
          <w:tcPr>
            <w:tcW w:w="1759" w:type="dxa"/>
            <w:vAlign w:val="center"/>
          </w:tcPr>
          <w:p w:rsidR="00F01A8C" w:rsidRPr="008D74D4" w:rsidRDefault="00F01A8C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proofErr w:type="gramStart"/>
            <w:r w:rsidRPr="008D74D4">
              <w:rPr>
                <w:rFonts w:ascii="楷体" w:eastAsia="楷体" w:hAnsi="楷体" w:cs="Times New Roman" w:hint="eastAsia"/>
                <w:sz w:val="28"/>
                <w:szCs w:val="28"/>
              </w:rPr>
              <w:t>市发改委</w:t>
            </w:r>
            <w:proofErr w:type="gramEnd"/>
          </w:p>
        </w:tc>
        <w:tc>
          <w:tcPr>
            <w:tcW w:w="2466" w:type="dxa"/>
            <w:vAlign w:val="center"/>
          </w:tcPr>
          <w:p w:rsidR="00F01A8C" w:rsidRPr="008D74D4" w:rsidRDefault="00E83F51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DD794A">
              <w:rPr>
                <w:rFonts w:ascii="楷体" w:eastAsia="楷体" w:hAnsi="楷体" w:cs="Times New Roman" w:hint="eastAsia"/>
                <w:sz w:val="28"/>
                <w:szCs w:val="28"/>
              </w:rPr>
              <w:t>市直各相关单位、各区、县（市）、开发区、集聚区</w:t>
            </w:r>
          </w:p>
        </w:tc>
        <w:tc>
          <w:tcPr>
            <w:tcW w:w="1760" w:type="dxa"/>
            <w:vAlign w:val="center"/>
          </w:tcPr>
          <w:p w:rsidR="00F01A8C" w:rsidRPr="008D74D4" w:rsidRDefault="00E61FF9" w:rsidP="008D74D4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市跑改办牵头考核</w:t>
            </w:r>
          </w:p>
        </w:tc>
      </w:tr>
    </w:tbl>
    <w:p w:rsidR="00CC3F81" w:rsidRDefault="00CC3F81" w:rsidP="008D74D4">
      <w:pPr>
        <w:adjustRightInd w:val="0"/>
        <w:snapToGrid w:val="0"/>
        <w:spacing w:line="600" w:lineRule="exact"/>
      </w:pPr>
    </w:p>
    <w:sectPr w:rsidR="00CC3F81" w:rsidSect="008D74D4">
      <w:pgSz w:w="16838" w:h="11906" w:orient="landscape"/>
      <w:pgMar w:top="1418" w:right="1701" w:bottom="141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C8" w:rsidRDefault="00490DC8" w:rsidP="00A630DE">
      <w:r>
        <w:separator/>
      </w:r>
    </w:p>
  </w:endnote>
  <w:endnote w:type="continuationSeparator" w:id="0">
    <w:p w:rsidR="00490DC8" w:rsidRDefault="00490DC8" w:rsidP="00A6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C8" w:rsidRDefault="00490DC8" w:rsidP="00A630DE">
      <w:r>
        <w:separator/>
      </w:r>
    </w:p>
  </w:footnote>
  <w:footnote w:type="continuationSeparator" w:id="0">
    <w:p w:rsidR="00490DC8" w:rsidRDefault="00490DC8" w:rsidP="00A63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4A0"/>
    <w:rsid w:val="00011145"/>
    <w:rsid w:val="000133DB"/>
    <w:rsid w:val="00047765"/>
    <w:rsid w:val="000B2D10"/>
    <w:rsid w:val="000C182B"/>
    <w:rsid w:val="001032D7"/>
    <w:rsid w:val="00123597"/>
    <w:rsid w:val="00184891"/>
    <w:rsid w:val="001D02A0"/>
    <w:rsid w:val="001D64A0"/>
    <w:rsid w:val="001E1E96"/>
    <w:rsid w:val="001E7D6B"/>
    <w:rsid w:val="00231741"/>
    <w:rsid w:val="0028611A"/>
    <w:rsid w:val="002935DC"/>
    <w:rsid w:val="002B0583"/>
    <w:rsid w:val="00342DF5"/>
    <w:rsid w:val="00376897"/>
    <w:rsid w:val="003815D7"/>
    <w:rsid w:val="00424059"/>
    <w:rsid w:val="00464F2C"/>
    <w:rsid w:val="00467B1C"/>
    <w:rsid w:val="00490DC8"/>
    <w:rsid w:val="004B6F03"/>
    <w:rsid w:val="005523A9"/>
    <w:rsid w:val="005A4577"/>
    <w:rsid w:val="005D32DE"/>
    <w:rsid w:val="00620639"/>
    <w:rsid w:val="00695CF4"/>
    <w:rsid w:val="008D74D4"/>
    <w:rsid w:val="00912ADF"/>
    <w:rsid w:val="00953789"/>
    <w:rsid w:val="00962C71"/>
    <w:rsid w:val="00976DA8"/>
    <w:rsid w:val="0099070C"/>
    <w:rsid w:val="009B351C"/>
    <w:rsid w:val="009D1CDE"/>
    <w:rsid w:val="00A21A1F"/>
    <w:rsid w:val="00A630DE"/>
    <w:rsid w:val="00A758CE"/>
    <w:rsid w:val="00A828E5"/>
    <w:rsid w:val="00AC3AE0"/>
    <w:rsid w:val="00AE25FE"/>
    <w:rsid w:val="00B90154"/>
    <w:rsid w:val="00BA1D84"/>
    <w:rsid w:val="00BA3FAC"/>
    <w:rsid w:val="00BB6E49"/>
    <w:rsid w:val="00BD7599"/>
    <w:rsid w:val="00C15289"/>
    <w:rsid w:val="00C17D70"/>
    <w:rsid w:val="00C423DD"/>
    <w:rsid w:val="00CC3F81"/>
    <w:rsid w:val="00CC6AA6"/>
    <w:rsid w:val="00CD750C"/>
    <w:rsid w:val="00D5245A"/>
    <w:rsid w:val="00DB1DA4"/>
    <w:rsid w:val="00E61FF9"/>
    <w:rsid w:val="00E83F51"/>
    <w:rsid w:val="00EA23B2"/>
    <w:rsid w:val="00F01A8C"/>
    <w:rsid w:val="00F13A96"/>
    <w:rsid w:val="00F150FB"/>
    <w:rsid w:val="00F751A3"/>
    <w:rsid w:val="00F869C1"/>
    <w:rsid w:val="00FD30E1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A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64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64A0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3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30DE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63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630DE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924</Words>
  <Characters>5272</Characters>
  <Application>Microsoft Office Word</Application>
  <DocSecurity>0</DocSecurity>
  <Lines>43</Lines>
  <Paragraphs>12</Paragraphs>
  <ScaleCrop>false</ScaleCrop>
  <Company>Microsoft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limingsong</dc:creator>
  <cp:lastModifiedBy>LUOKAKA</cp:lastModifiedBy>
  <cp:revision>5</cp:revision>
  <cp:lastPrinted>2018-02-28T08:46:00Z</cp:lastPrinted>
  <dcterms:created xsi:type="dcterms:W3CDTF">2018-02-28T01:09:00Z</dcterms:created>
  <dcterms:modified xsi:type="dcterms:W3CDTF">2018-03-13T02:30:00Z</dcterms:modified>
</cp:coreProperties>
</file>