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sz w:val="52"/>
          <w:szCs w:val="52"/>
        </w:rPr>
      </w:pPr>
      <w:r>
        <w:rPr>
          <w:rFonts w:hint="eastAsia" w:eastAsia="方正小标宋_GBK"/>
          <w:sz w:val="52"/>
          <w:szCs w:val="52"/>
          <w:lang w:val="en-US" w:eastAsia="zh-CN"/>
        </w:rPr>
        <w:t xml:space="preserve">          </w:t>
      </w:r>
      <w:bookmarkStart w:id="0" w:name="_GoBack"/>
      <w:r>
        <w:rPr>
          <w:rFonts w:hint="eastAsia" w:eastAsia="方正小标宋_GBK"/>
          <w:sz w:val="52"/>
          <w:szCs w:val="52"/>
          <w:lang w:val="en-US" w:eastAsia="zh-CN"/>
        </w:rPr>
        <w:t xml:space="preserve">    浙江省司法行政系统“最多跑一次”事项材料精简优化表（县级）</w:t>
      </w:r>
      <w:bookmarkEnd w:id="0"/>
    </w:p>
    <w:p>
      <w:pPr>
        <w:rPr>
          <w:rFonts w:ascii="宋体" w:hAnsi="宋体" w:cs="宋体"/>
          <w:b/>
          <w:bCs/>
          <w:szCs w:val="21"/>
        </w:rPr>
      </w:pPr>
    </w:p>
    <w:p>
      <w:pPr>
        <w:rPr>
          <w:rFonts w:ascii="宋体" w:hAnsi="宋体" w:cs="宋体"/>
          <w:b/>
          <w:bCs/>
          <w:szCs w:val="21"/>
        </w:rPr>
      </w:pPr>
    </w:p>
    <w:p>
      <w:pPr>
        <w:rPr>
          <w:rFonts w:ascii="宋体" w:hAnsi="宋体" w:cs="宋体"/>
          <w:b/>
          <w:bCs/>
          <w:szCs w:val="21"/>
        </w:rPr>
      </w:pPr>
    </w:p>
    <w:p>
      <w:pPr>
        <w:rPr>
          <w:rFonts w:ascii="宋体" w:hAnsi="宋体" w:cs="宋体"/>
          <w:b/>
          <w:bCs/>
          <w:szCs w:val="21"/>
        </w:rPr>
      </w:pPr>
    </w:p>
    <w:p>
      <w:pPr>
        <w:rPr>
          <w:rFonts w:ascii="宋体" w:hAnsi="宋体" w:cs="宋体"/>
          <w:b/>
          <w:bCs/>
          <w:szCs w:val="21"/>
        </w:rPr>
      </w:pPr>
    </w:p>
    <w:p>
      <w:pPr>
        <w:rPr>
          <w:rFonts w:ascii="宋体" w:hAnsi="宋体" w:cs="宋体"/>
          <w:b/>
          <w:bCs/>
          <w:szCs w:val="21"/>
        </w:rPr>
      </w:pPr>
    </w:p>
    <w:p>
      <w:pPr>
        <w:rPr>
          <w:rFonts w:ascii="宋体" w:hAnsi="宋体" w:cs="宋体"/>
          <w:b/>
          <w:bCs/>
          <w:szCs w:val="21"/>
        </w:rPr>
      </w:pPr>
    </w:p>
    <w:p>
      <w:pPr>
        <w:rPr>
          <w:rFonts w:ascii="宋体" w:hAnsi="宋体" w:cs="宋体"/>
          <w:b/>
          <w:bCs/>
          <w:szCs w:val="21"/>
        </w:rPr>
      </w:pPr>
    </w:p>
    <w:p>
      <w:pPr>
        <w:rPr>
          <w:rFonts w:ascii="宋体" w:hAnsi="宋体" w:cs="宋体"/>
          <w:b/>
          <w:bCs/>
          <w:szCs w:val="21"/>
        </w:rPr>
      </w:pPr>
    </w:p>
    <w:tbl>
      <w:tblPr>
        <w:tblStyle w:val="8"/>
        <w:tblW w:w="1999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
      <w:tblGrid>
        <w:gridCol w:w="1250"/>
        <w:gridCol w:w="809"/>
        <w:gridCol w:w="1701"/>
        <w:gridCol w:w="3260"/>
        <w:gridCol w:w="1843"/>
        <w:gridCol w:w="2126"/>
        <w:gridCol w:w="1559"/>
        <w:gridCol w:w="2952"/>
        <w:gridCol w:w="868"/>
        <w:gridCol w:w="798"/>
        <w:gridCol w:w="958"/>
        <w:gridCol w:w="1104"/>
        <w:gridCol w:w="7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250" w:type="dxa"/>
            <w:vMerge w:val="restart"/>
            <w:vAlign w:val="center"/>
          </w:tcPr>
          <w:p>
            <w:pPr>
              <w:spacing w:line="280" w:lineRule="exact"/>
              <w:jc w:val="center"/>
              <w:rPr>
                <w:rFonts w:ascii="黑体" w:eastAsia="黑体"/>
                <w:szCs w:val="21"/>
              </w:rPr>
            </w:pPr>
            <w:r>
              <w:rPr>
                <w:rFonts w:hint="eastAsia" w:ascii="黑体" w:eastAsia="黑体"/>
                <w:szCs w:val="21"/>
              </w:rPr>
              <w:t>主项名称</w:t>
            </w:r>
          </w:p>
        </w:tc>
        <w:tc>
          <w:tcPr>
            <w:tcW w:w="809" w:type="dxa"/>
            <w:vMerge w:val="restart"/>
            <w:vAlign w:val="center"/>
          </w:tcPr>
          <w:p>
            <w:pPr>
              <w:spacing w:line="280" w:lineRule="exact"/>
              <w:jc w:val="center"/>
              <w:rPr>
                <w:rFonts w:ascii="黑体" w:eastAsia="黑体"/>
                <w:szCs w:val="21"/>
              </w:rPr>
            </w:pPr>
            <w:r>
              <w:rPr>
                <w:rFonts w:hint="eastAsia" w:ascii="黑体" w:eastAsia="黑体"/>
                <w:szCs w:val="21"/>
              </w:rPr>
              <w:t>子项名称</w:t>
            </w:r>
          </w:p>
        </w:tc>
        <w:tc>
          <w:tcPr>
            <w:tcW w:w="1701" w:type="dxa"/>
            <w:vMerge w:val="restart"/>
            <w:vAlign w:val="center"/>
          </w:tcPr>
          <w:p>
            <w:pPr>
              <w:spacing w:line="280" w:lineRule="exact"/>
              <w:jc w:val="center"/>
              <w:rPr>
                <w:rFonts w:ascii="黑体" w:eastAsia="黑体"/>
                <w:szCs w:val="21"/>
              </w:rPr>
            </w:pPr>
            <w:r>
              <w:rPr>
                <w:rFonts w:hint="eastAsia" w:ascii="黑体" w:eastAsia="黑体"/>
                <w:szCs w:val="21"/>
              </w:rPr>
              <w:t>经办依据</w:t>
            </w:r>
          </w:p>
        </w:tc>
        <w:tc>
          <w:tcPr>
            <w:tcW w:w="5103" w:type="dxa"/>
            <w:gridSpan w:val="2"/>
            <w:vAlign w:val="center"/>
          </w:tcPr>
          <w:p>
            <w:pPr>
              <w:spacing w:line="280" w:lineRule="exact"/>
              <w:jc w:val="center"/>
              <w:rPr>
                <w:rFonts w:ascii="黑体" w:eastAsia="黑体"/>
                <w:szCs w:val="21"/>
              </w:rPr>
            </w:pPr>
            <w:r>
              <w:rPr>
                <w:rFonts w:hint="eastAsia" w:ascii="黑体" w:eastAsia="黑体"/>
                <w:szCs w:val="21"/>
              </w:rPr>
              <w:t>原经办所需材料</w:t>
            </w:r>
          </w:p>
        </w:tc>
        <w:tc>
          <w:tcPr>
            <w:tcW w:w="6637" w:type="dxa"/>
            <w:gridSpan w:val="3"/>
            <w:vAlign w:val="center"/>
          </w:tcPr>
          <w:p>
            <w:pPr>
              <w:spacing w:line="280" w:lineRule="exact"/>
              <w:jc w:val="center"/>
              <w:rPr>
                <w:rFonts w:ascii="黑体" w:eastAsia="黑体"/>
                <w:szCs w:val="21"/>
              </w:rPr>
            </w:pPr>
            <w:r>
              <w:rPr>
                <w:rFonts w:hint="eastAsia" w:ascii="黑体" w:eastAsia="黑体"/>
                <w:szCs w:val="21"/>
              </w:rPr>
              <w:t>梳理后经办所需材料</w:t>
            </w:r>
          </w:p>
        </w:tc>
        <w:tc>
          <w:tcPr>
            <w:tcW w:w="1666" w:type="dxa"/>
            <w:gridSpan w:val="2"/>
            <w:vAlign w:val="center"/>
          </w:tcPr>
          <w:p>
            <w:pPr>
              <w:spacing w:line="280" w:lineRule="exact"/>
              <w:jc w:val="center"/>
              <w:rPr>
                <w:rFonts w:ascii="黑体" w:eastAsia="黑体"/>
                <w:szCs w:val="21"/>
              </w:rPr>
            </w:pPr>
            <w:r>
              <w:rPr>
                <w:rFonts w:hint="eastAsia" w:ascii="黑体" w:eastAsia="黑体"/>
                <w:szCs w:val="21"/>
              </w:rPr>
              <w:t>办理时限</w:t>
            </w:r>
          </w:p>
        </w:tc>
        <w:tc>
          <w:tcPr>
            <w:tcW w:w="958" w:type="dxa"/>
            <w:vMerge w:val="restart"/>
            <w:vAlign w:val="center"/>
          </w:tcPr>
          <w:p>
            <w:pPr>
              <w:spacing w:line="280" w:lineRule="exact"/>
              <w:jc w:val="center"/>
              <w:rPr>
                <w:rFonts w:ascii="黑体" w:eastAsia="黑体"/>
                <w:szCs w:val="21"/>
              </w:rPr>
            </w:pPr>
            <w:r>
              <w:rPr>
                <w:rFonts w:hint="eastAsia" w:ascii="黑体" w:eastAsia="黑体"/>
                <w:szCs w:val="21"/>
              </w:rPr>
              <w:t>是否实现跑零次</w:t>
            </w:r>
          </w:p>
        </w:tc>
        <w:tc>
          <w:tcPr>
            <w:tcW w:w="1104" w:type="dxa"/>
            <w:vMerge w:val="restart"/>
            <w:vAlign w:val="center"/>
          </w:tcPr>
          <w:p>
            <w:pPr>
              <w:spacing w:line="280" w:lineRule="exact"/>
              <w:jc w:val="center"/>
              <w:rPr>
                <w:rFonts w:ascii="黑体" w:eastAsia="黑体"/>
                <w:szCs w:val="21"/>
              </w:rPr>
            </w:pPr>
            <w:r>
              <w:rPr>
                <w:rFonts w:hint="eastAsia" w:ascii="黑体" w:eastAsia="黑体"/>
                <w:szCs w:val="21"/>
              </w:rPr>
              <w:t>省厅对口</w:t>
            </w:r>
          </w:p>
          <w:p>
            <w:pPr>
              <w:spacing w:line="280" w:lineRule="exact"/>
              <w:jc w:val="center"/>
              <w:rPr>
                <w:rFonts w:ascii="黑体" w:eastAsia="黑体"/>
                <w:szCs w:val="21"/>
              </w:rPr>
            </w:pPr>
            <w:r>
              <w:rPr>
                <w:rFonts w:hint="eastAsia" w:ascii="黑体" w:eastAsia="黑体"/>
                <w:szCs w:val="21"/>
              </w:rPr>
              <w:t>指导处室</w:t>
            </w:r>
          </w:p>
          <w:p>
            <w:pPr>
              <w:spacing w:line="280" w:lineRule="exact"/>
              <w:jc w:val="center"/>
              <w:rPr>
                <w:rFonts w:ascii="黑体" w:eastAsia="黑体"/>
                <w:szCs w:val="21"/>
              </w:rPr>
            </w:pPr>
            <w:r>
              <w:rPr>
                <w:rFonts w:hint="eastAsia" w:ascii="黑体" w:eastAsia="黑体"/>
                <w:szCs w:val="21"/>
              </w:rPr>
              <w:t>（单位）</w:t>
            </w:r>
          </w:p>
        </w:tc>
        <w:tc>
          <w:tcPr>
            <w:tcW w:w="764" w:type="dxa"/>
            <w:vMerge w:val="restart"/>
            <w:vAlign w:val="center"/>
          </w:tcPr>
          <w:p>
            <w:pPr>
              <w:spacing w:line="280" w:lineRule="exact"/>
              <w:jc w:val="center"/>
              <w:rPr>
                <w:rFonts w:ascii="黑体" w:eastAsia="黑体"/>
                <w:szCs w:val="21"/>
              </w:rPr>
            </w:pPr>
            <w:r>
              <w:rPr>
                <w:rFonts w:hint="eastAsia" w:ascii="黑体" w:eastAsia="黑体"/>
                <w:szCs w:val="21"/>
              </w:rPr>
              <w:t>进一步精简、</w:t>
            </w:r>
          </w:p>
          <w:p>
            <w:pPr>
              <w:spacing w:line="280" w:lineRule="exact"/>
              <w:jc w:val="center"/>
              <w:rPr>
                <w:rFonts w:ascii="黑体" w:eastAsia="黑体"/>
                <w:szCs w:val="21"/>
              </w:rPr>
            </w:pPr>
            <w:r>
              <w:rPr>
                <w:rFonts w:hint="eastAsia" w:ascii="黑体" w:eastAsia="黑体"/>
                <w:szCs w:val="21"/>
              </w:rPr>
              <w:t>规范建议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250" w:type="dxa"/>
            <w:vMerge w:val="continue"/>
            <w:vAlign w:val="center"/>
          </w:tcPr>
          <w:p>
            <w:pPr>
              <w:rPr>
                <w:szCs w:val="21"/>
              </w:rPr>
            </w:pPr>
          </w:p>
        </w:tc>
        <w:tc>
          <w:tcPr>
            <w:tcW w:w="809" w:type="dxa"/>
            <w:vMerge w:val="continue"/>
          </w:tcPr>
          <w:p>
            <w:pPr>
              <w:rPr>
                <w:szCs w:val="21"/>
              </w:rPr>
            </w:pPr>
          </w:p>
        </w:tc>
        <w:tc>
          <w:tcPr>
            <w:tcW w:w="1701" w:type="dxa"/>
            <w:vMerge w:val="continue"/>
          </w:tcPr>
          <w:p>
            <w:pPr>
              <w:rPr>
                <w:szCs w:val="21"/>
              </w:rPr>
            </w:pPr>
          </w:p>
        </w:tc>
        <w:tc>
          <w:tcPr>
            <w:tcW w:w="3260" w:type="dxa"/>
            <w:tcBorders>
              <w:bottom w:val="single" w:color="auto" w:sz="4" w:space="0"/>
            </w:tcBorders>
            <w:vAlign w:val="center"/>
          </w:tcPr>
          <w:p>
            <w:pPr>
              <w:spacing w:line="280" w:lineRule="exact"/>
              <w:jc w:val="center"/>
              <w:rPr>
                <w:rFonts w:ascii="黑体" w:eastAsia="黑体"/>
                <w:szCs w:val="21"/>
              </w:rPr>
            </w:pPr>
            <w:r>
              <w:rPr>
                <w:rFonts w:hint="eastAsia" w:ascii="黑体" w:eastAsia="黑体"/>
                <w:szCs w:val="21"/>
              </w:rPr>
              <w:t>材料明细</w:t>
            </w:r>
          </w:p>
        </w:tc>
        <w:tc>
          <w:tcPr>
            <w:tcW w:w="1843" w:type="dxa"/>
            <w:vAlign w:val="center"/>
          </w:tcPr>
          <w:p>
            <w:pPr>
              <w:spacing w:line="280" w:lineRule="exact"/>
              <w:jc w:val="center"/>
              <w:rPr>
                <w:rFonts w:ascii="黑体" w:eastAsia="黑体"/>
                <w:szCs w:val="21"/>
              </w:rPr>
            </w:pPr>
            <w:r>
              <w:rPr>
                <w:rFonts w:hint="eastAsia" w:ascii="黑体" w:eastAsia="黑体"/>
                <w:szCs w:val="21"/>
              </w:rPr>
              <w:t>材料来源</w:t>
            </w:r>
          </w:p>
        </w:tc>
        <w:tc>
          <w:tcPr>
            <w:tcW w:w="2126" w:type="dxa"/>
            <w:vAlign w:val="center"/>
          </w:tcPr>
          <w:p>
            <w:pPr>
              <w:spacing w:line="280" w:lineRule="exact"/>
              <w:jc w:val="center"/>
              <w:rPr>
                <w:rFonts w:ascii="黑体" w:eastAsia="黑体"/>
                <w:szCs w:val="21"/>
              </w:rPr>
            </w:pPr>
            <w:r>
              <w:rPr>
                <w:rFonts w:hint="eastAsia" w:ascii="黑体" w:eastAsia="黑体"/>
                <w:szCs w:val="21"/>
              </w:rPr>
              <w:t>材料明细</w:t>
            </w:r>
          </w:p>
        </w:tc>
        <w:tc>
          <w:tcPr>
            <w:tcW w:w="1559" w:type="dxa"/>
            <w:vAlign w:val="center"/>
          </w:tcPr>
          <w:p>
            <w:pPr>
              <w:spacing w:line="280" w:lineRule="exact"/>
              <w:jc w:val="center"/>
              <w:rPr>
                <w:rFonts w:ascii="黑体" w:eastAsia="黑体"/>
                <w:szCs w:val="21"/>
              </w:rPr>
            </w:pPr>
            <w:r>
              <w:rPr>
                <w:rFonts w:hint="eastAsia" w:ascii="黑体" w:eastAsia="黑体"/>
                <w:szCs w:val="21"/>
              </w:rPr>
              <w:t>材料来源</w:t>
            </w:r>
          </w:p>
        </w:tc>
        <w:tc>
          <w:tcPr>
            <w:tcW w:w="2952" w:type="dxa"/>
            <w:vAlign w:val="center"/>
          </w:tcPr>
          <w:p>
            <w:pPr>
              <w:spacing w:line="280" w:lineRule="exact"/>
              <w:jc w:val="center"/>
              <w:rPr>
                <w:rFonts w:ascii="黑体" w:eastAsia="黑体"/>
                <w:szCs w:val="21"/>
              </w:rPr>
            </w:pPr>
            <w:r>
              <w:rPr>
                <w:rFonts w:hint="eastAsia" w:ascii="黑体" w:eastAsia="黑体"/>
                <w:szCs w:val="21"/>
              </w:rPr>
              <w:t>办理方式及材料</w:t>
            </w:r>
          </w:p>
          <w:p>
            <w:pPr>
              <w:spacing w:line="280" w:lineRule="exact"/>
              <w:jc w:val="center"/>
              <w:rPr>
                <w:rFonts w:ascii="黑体" w:eastAsia="黑体"/>
                <w:szCs w:val="21"/>
              </w:rPr>
            </w:pPr>
            <w:r>
              <w:rPr>
                <w:rFonts w:hint="eastAsia" w:ascii="黑体" w:eastAsia="黑体"/>
                <w:szCs w:val="21"/>
              </w:rPr>
              <w:t>信息获取方式说明</w:t>
            </w:r>
          </w:p>
        </w:tc>
        <w:tc>
          <w:tcPr>
            <w:tcW w:w="868" w:type="dxa"/>
            <w:vAlign w:val="center"/>
          </w:tcPr>
          <w:p>
            <w:pPr>
              <w:spacing w:line="280" w:lineRule="exact"/>
              <w:jc w:val="center"/>
              <w:rPr>
                <w:rFonts w:ascii="黑体" w:eastAsia="黑体"/>
                <w:szCs w:val="21"/>
              </w:rPr>
            </w:pPr>
            <w:r>
              <w:rPr>
                <w:rFonts w:hint="eastAsia" w:ascii="黑体" w:eastAsia="黑体"/>
                <w:szCs w:val="21"/>
              </w:rPr>
              <w:t>优化前</w:t>
            </w:r>
          </w:p>
        </w:tc>
        <w:tc>
          <w:tcPr>
            <w:tcW w:w="798" w:type="dxa"/>
            <w:vAlign w:val="center"/>
          </w:tcPr>
          <w:p>
            <w:pPr>
              <w:spacing w:line="280" w:lineRule="exact"/>
              <w:jc w:val="center"/>
              <w:rPr>
                <w:rFonts w:ascii="黑体" w:eastAsia="黑体"/>
                <w:szCs w:val="21"/>
              </w:rPr>
            </w:pPr>
            <w:r>
              <w:rPr>
                <w:rFonts w:hint="eastAsia" w:ascii="黑体" w:eastAsia="黑体"/>
                <w:szCs w:val="21"/>
              </w:rPr>
              <w:t>优化后</w:t>
            </w:r>
          </w:p>
        </w:tc>
        <w:tc>
          <w:tcPr>
            <w:tcW w:w="958" w:type="dxa"/>
            <w:vMerge w:val="continue"/>
            <w:vAlign w:val="center"/>
          </w:tcPr>
          <w:p>
            <w:pPr>
              <w:rPr>
                <w:szCs w:val="21"/>
              </w:rPr>
            </w:pPr>
          </w:p>
        </w:tc>
        <w:tc>
          <w:tcPr>
            <w:tcW w:w="1104" w:type="dxa"/>
            <w:vMerge w:val="continue"/>
            <w:vAlign w:val="center"/>
          </w:tcPr>
          <w:p>
            <w:pPr>
              <w:rPr>
                <w:szCs w:val="21"/>
              </w:rPr>
            </w:pPr>
          </w:p>
        </w:tc>
        <w:tc>
          <w:tcPr>
            <w:tcW w:w="764" w:type="dxa"/>
            <w:vMerge w:val="continue"/>
            <w:vAlign w:val="center"/>
          </w:tcPr>
          <w:p>
            <w:pP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475" w:hRule="atLeast"/>
          <w:jc w:val="center"/>
        </w:trPr>
        <w:tc>
          <w:tcPr>
            <w:tcW w:w="1250" w:type="dxa"/>
            <w:vMerge w:val="restart"/>
            <w:vAlign w:val="center"/>
          </w:tcPr>
          <w:p>
            <w:pPr>
              <w:spacing w:line="30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1.</w:t>
            </w:r>
            <w:r>
              <w:rPr>
                <w:rFonts w:hint="eastAsia" w:ascii="仿宋_GB2312" w:hAnsi="仿宋_GB2312" w:eastAsia="仿宋_GB2312" w:cs="仿宋_GB2312"/>
                <w:szCs w:val="21"/>
              </w:rPr>
              <w:t>法律援助审批</w:t>
            </w:r>
          </w:p>
          <w:p>
            <w:pPr>
              <w:spacing w:line="30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rPr>
              <w:t>（其他-00883-000）</w:t>
            </w:r>
          </w:p>
        </w:tc>
        <w:tc>
          <w:tcPr>
            <w:tcW w:w="809" w:type="dxa"/>
            <w:vMerge w:val="restart"/>
            <w:vAlign w:val="center"/>
          </w:tcPr>
          <w:p>
            <w:pPr>
              <w:spacing w:line="31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rPr>
              <w:t>无</w:t>
            </w:r>
          </w:p>
        </w:tc>
        <w:tc>
          <w:tcPr>
            <w:tcW w:w="1701" w:type="dxa"/>
            <w:vMerge w:val="restart"/>
            <w:vAlign w:val="center"/>
          </w:tcPr>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1. 《浙江省法律援助条例》第十五条；</w:t>
            </w:r>
          </w:p>
          <w:p>
            <w:pPr>
              <w:spacing w:line="310" w:lineRule="exact"/>
              <w:rPr>
                <w:rFonts w:hint="eastAsia" w:ascii="仿宋_GB2312" w:hAnsi="仿宋_GB2312" w:eastAsia="仿宋_GB2312" w:cs="仿宋_GB2312"/>
                <w:szCs w:val="21"/>
              </w:rPr>
            </w:pPr>
            <w:r>
              <w:rPr>
                <w:rFonts w:hint="eastAsia" w:ascii="仿宋_GB2312" w:hAnsi="仿宋_GB2312" w:eastAsia="仿宋_GB2312" w:cs="仿宋_GB2312"/>
                <w:szCs w:val="21"/>
              </w:rPr>
              <w:t>2. 《浙江省法律援助条例》第十七条。</w:t>
            </w:r>
          </w:p>
        </w:tc>
        <w:tc>
          <w:tcPr>
            <w:tcW w:w="3260" w:type="dxa"/>
            <w:tcBorders>
              <w:top w:val="single" w:color="auto" w:sz="4" w:space="0"/>
              <w:bottom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 法律援助申请表；</w:t>
            </w:r>
          </w:p>
        </w:tc>
        <w:tc>
          <w:tcPr>
            <w:tcW w:w="1843"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自行填报</w:t>
            </w:r>
          </w:p>
        </w:tc>
        <w:tc>
          <w:tcPr>
            <w:tcW w:w="2126"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1. 法律援助申请表(纸质表格</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w:t>
            </w:r>
          </w:p>
        </w:tc>
        <w:tc>
          <w:tcPr>
            <w:tcW w:w="1559" w:type="dxa"/>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自行填报</w:t>
            </w:r>
          </w:p>
        </w:tc>
        <w:tc>
          <w:tcPr>
            <w:tcW w:w="2952"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 xml:space="preserve">  现场办理：申请人到法律援助机构现场提交材料。</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 xml:space="preserve">  网上办理：申请人通过浙江政务服务网或者12348浙江法网办理。</w:t>
            </w:r>
          </w:p>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 xml:space="preserve">  申请人及其家庭成员经济状况证明到申请人所在地的乡镇人民政府、街道办事处开具。 </w:t>
            </w:r>
          </w:p>
        </w:tc>
        <w:tc>
          <w:tcPr>
            <w:tcW w:w="86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7个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79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5个</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工作日</w:t>
            </w:r>
          </w:p>
        </w:tc>
        <w:tc>
          <w:tcPr>
            <w:tcW w:w="958"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否</w:t>
            </w:r>
          </w:p>
        </w:tc>
        <w:tc>
          <w:tcPr>
            <w:tcW w:w="1104" w:type="dxa"/>
            <w:vMerge w:val="restart"/>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省法律援助中心</w:t>
            </w:r>
          </w:p>
        </w:tc>
        <w:tc>
          <w:tcPr>
            <w:tcW w:w="764" w:type="dxa"/>
            <w:vMerge w:val="restart"/>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699"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1701" w:type="dxa"/>
            <w:vMerge w:val="continue"/>
            <w:vAlign w:val="center"/>
          </w:tcPr>
          <w:p>
            <w:pPr>
              <w:rPr>
                <w:rFonts w:hint="eastAsia" w:ascii="仿宋_GB2312" w:hAnsi="仿宋_GB2312" w:eastAsia="仿宋_GB2312" w:cs="仿宋_GB2312"/>
                <w:szCs w:val="21"/>
              </w:rPr>
            </w:pPr>
          </w:p>
        </w:tc>
        <w:tc>
          <w:tcPr>
            <w:tcW w:w="3260" w:type="dxa"/>
            <w:tcBorders>
              <w:top w:val="single" w:color="auto" w:sz="4" w:space="0"/>
            </w:tcBorders>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 身份证或者其他有效的身份证明，代理申请人还应当提交有代理权的证明；</w:t>
            </w:r>
          </w:p>
        </w:tc>
        <w:tc>
          <w:tcPr>
            <w:tcW w:w="1843" w:type="dxa"/>
            <w:vAlign w:val="center"/>
          </w:tcPr>
          <w:p>
            <w:pPr>
              <w:ind w:firstLine="315" w:firstLineChars="150"/>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2126"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2. 身份证或者其他有效的身份证明(原件提交核对，复印件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份留存),代理申请人还应当提交有代理权的证明（代理人身份证或者其他有效身份证明提交的要求同申请人；委托申请提交委托书原件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份；法定代理的代理权证明原件提交核对，复印件</w:t>
            </w:r>
            <w:r>
              <w:rPr>
                <w:rFonts w:hint="eastAsia" w:ascii="仿宋_GB2312" w:hAnsi="仿宋_GB2312" w:eastAsia="仿宋_GB2312" w:cs="仿宋_GB2312"/>
                <w:szCs w:val="21"/>
                <w:lang w:eastAsia="zh-CN"/>
              </w:rPr>
              <w:t>1</w:t>
            </w:r>
            <w:r>
              <w:rPr>
                <w:rFonts w:hint="eastAsia" w:ascii="仿宋_GB2312" w:hAnsi="仿宋_GB2312" w:eastAsia="仿宋_GB2312" w:cs="仿宋_GB2312"/>
                <w:szCs w:val="21"/>
              </w:rPr>
              <w:t>份留存）；</w:t>
            </w:r>
          </w:p>
        </w:tc>
        <w:tc>
          <w:tcPr>
            <w:tcW w:w="1559" w:type="dxa"/>
            <w:vAlign w:val="center"/>
          </w:tcPr>
          <w:p>
            <w:pPr>
              <w:ind w:firstLine="315" w:firstLineChars="150"/>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2952"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jc w:val="center"/>
        </w:trPr>
        <w:tc>
          <w:tcPr>
            <w:tcW w:w="1250" w:type="dxa"/>
            <w:vMerge w:val="continue"/>
            <w:textDirection w:val="tbRlV"/>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1701"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3.申请人及其家庭成员经济状况的证明；</w:t>
            </w:r>
          </w:p>
        </w:tc>
        <w:tc>
          <w:tcPr>
            <w:tcW w:w="1843" w:type="dxa"/>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申请人所在地的乡镇人民政府、街道办事处。</w:t>
            </w:r>
          </w:p>
        </w:tc>
        <w:tc>
          <w:tcPr>
            <w:tcW w:w="2126"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3.申请人及其家庭成员经济状况证明（原件1份）；</w:t>
            </w:r>
          </w:p>
        </w:tc>
        <w:tc>
          <w:tcPr>
            <w:tcW w:w="1559" w:type="dxa"/>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申请人所在地的乡镇人民政府、街道办事处</w:t>
            </w:r>
          </w:p>
        </w:tc>
        <w:tc>
          <w:tcPr>
            <w:tcW w:w="2952"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jc w:val="center"/>
        </w:trPr>
        <w:tc>
          <w:tcPr>
            <w:tcW w:w="1250" w:type="dxa"/>
            <w:vMerge w:val="continue"/>
            <w:vAlign w:val="center"/>
          </w:tcPr>
          <w:p>
            <w:pPr>
              <w:rPr>
                <w:rFonts w:hint="eastAsia" w:ascii="仿宋_GB2312" w:hAnsi="仿宋_GB2312" w:eastAsia="仿宋_GB2312" w:cs="仿宋_GB2312"/>
                <w:szCs w:val="21"/>
              </w:rPr>
            </w:pPr>
          </w:p>
        </w:tc>
        <w:tc>
          <w:tcPr>
            <w:tcW w:w="809" w:type="dxa"/>
            <w:vMerge w:val="continue"/>
            <w:vAlign w:val="center"/>
          </w:tcPr>
          <w:p>
            <w:pPr>
              <w:rPr>
                <w:rFonts w:hint="eastAsia" w:ascii="仿宋_GB2312" w:hAnsi="仿宋_GB2312" w:eastAsia="仿宋_GB2312" w:cs="仿宋_GB2312"/>
                <w:szCs w:val="21"/>
              </w:rPr>
            </w:pPr>
          </w:p>
        </w:tc>
        <w:tc>
          <w:tcPr>
            <w:tcW w:w="1701" w:type="dxa"/>
            <w:vMerge w:val="continue"/>
            <w:vAlign w:val="center"/>
          </w:tcPr>
          <w:p>
            <w:pPr>
              <w:rPr>
                <w:rFonts w:hint="eastAsia" w:ascii="仿宋_GB2312" w:hAnsi="仿宋_GB2312" w:eastAsia="仿宋_GB2312" w:cs="仿宋_GB2312"/>
                <w:szCs w:val="21"/>
              </w:rPr>
            </w:pPr>
          </w:p>
        </w:tc>
        <w:tc>
          <w:tcPr>
            <w:tcW w:w="3260"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 申请法律援助的事项及案件证据材料；</w:t>
            </w:r>
          </w:p>
        </w:tc>
        <w:tc>
          <w:tcPr>
            <w:tcW w:w="1843" w:type="dxa"/>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2126" w:type="dxa"/>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4. 申请法律援助的事项及案件证据材料（每种材料原件提交核对，复印件</w:t>
            </w:r>
            <w:r>
              <w:rPr>
                <w:rFonts w:hint="eastAsia" w:ascii="仿宋_GB2312" w:hAnsi="仿宋_GB2312" w:eastAsia="仿宋_GB2312" w:cs="仿宋_GB2312"/>
                <w:szCs w:val="21"/>
                <w:lang w:val="en-US" w:eastAsia="zh-CN"/>
              </w:rPr>
              <w:t>1份</w:t>
            </w:r>
            <w:r>
              <w:rPr>
                <w:rFonts w:hint="eastAsia" w:ascii="仿宋_GB2312" w:hAnsi="仿宋_GB2312" w:eastAsia="仿宋_GB2312" w:cs="仿宋_GB2312"/>
                <w:szCs w:val="21"/>
              </w:rPr>
              <w:t>留存）。</w:t>
            </w:r>
          </w:p>
        </w:tc>
        <w:tc>
          <w:tcPr>
            <w:tcW w:w="1559" w:type="dxa"/>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自行提交</w:t>
            </w:r>
          </w:p>
        </w:tc>
        <w:tc>
          <w:tcPr>
            <w:tcW w:w="2952" w:type="dxa"/>
            <w:vMerge w:val="continue"/>
            <w:vAlign w:val="center"/>
          </w:tcPr>
          <w:p>
            <w:pPr>
              <w:spacing w:line="300" w:lineRule="exact"/>
              <w:rPr>
                <w:rFonts w:hint="eastAsia" w:ascii="仿宋_GB2312" w:hAnsi="仿宋_GB2312" w:eastAsia="仿宋_GB2312" w:cs="仿宋_GB2312"/>
                <w:szCs w:val="21"/>
              </w:rPr>
            </w:pPr>
          </w:p>
        </w:tc>
        <w:tc>
          <w:tcPr>
            <w:tcW w:w="868" w:type="dxa"/>
            <w:vMerge w:val="continue"/>
            <w:vAlign w:val="center"/>
          </w:tcPr>
          <w:p>
            <w:pPr>
              <w:rPr>
                <w:rFonts w:hint="eastAsia" w:ascii="仿宋_GB2312" w:hAnsi="仿宋_GB2312" w:eastAsia="仿宋_GB2312" w:cs="仿宋_GB2312"/>
                <w:szCs w:val="21"/>
              </w:rPr>
            </w:pPr>
          </w:p>
        </w:tc>
        <w:tc>
          <w:tcPr>
            <w:tcW w:w="798" w:type="dxa"/>
            <w:vMerge w:val="continue"/>
            <w:vAlign w:val="center"/>
          </w:tcPr>
          <w:p>
            <w:pPr>
              <w:rPr>
                <w:rFonts w:hint="eastAsia" w:ascii="仿宋_GB2312" w:hAnsi="仿宋_GB2312" w:eastAsia="仿宋_GB2312" w:cs="仿宋_GB2312"/>
                <w:szCs w:val="21"/>
              </w:rPr>
            </w:pP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bl>
    <w:p>
      <w:pPr>
        <w:rPr>
          <w:rFonts w:hint="eastAsia" w:ascii="仿宋_GB2312" w:hAnsi="仿宋_GB2312" w:eastAsia="仿宋_GB2312" w:cs="仿宋_GB2312"/>
        </w:rPr>
      </w:pPr>
    </w:p>
    <w:p>
      <w:pPr>
        <w:rPr>
          <w:rFonts w:hint="eastAsia" w:ascii="仿宋_GB2312" w:hAnsi="仿宋_GB2312" w:eastAsia="仿宋_GB2312" w:cs="仿宋_GB2312"/>
        </w:rPr>
      </w:pPr>
    </w:p>
    <w:tbl>
      <w:tblPr>
        <w:tblStyle w:val="8"/>
        <w:tblW w:w="1999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
      <w:tblGrid>
        <w:gridCol w:w="1250"/>
        <w:gridCol w:w="809"/>
        <w:gridCol w:w="1701"/>
        <w:gridCol w:w="3260"/>
        <w:gridCol w:w="1843"/>
        <w:gridCol w:w="2126"/>
        <w:gridCol w:w="1559"/>
        <w:gridCol w:w="2952"/>
        <w:gridCol w:w="868"/>
        <w:gridCol w:w="798"/>
        <w:gridCol w:w="958"/>
        <w:gridCol w:w="1104"/>
        <w:gridCol w:w="7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250"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主项名称</w:t>
            </w:r>
          </w:p>
        </w:tc>
        <w:tc>
          <w:tcPr>
            <w:tcW w:w="809"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子项名称</w:t>
            </w:r>
          </w:p>
        </w:tc>
        <w:tc>
          <w:tcPr>
            <w:tcW w:w="1701"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经办依据</w:t>
            </w:r>
          </w:p>
        </w:tc>
        <w:tc>
          <w:tcPr>
            <w:tcW w:w="5103" w:type="dxa"/>
            <w:gridSpan w:val="2"/>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原经办所需材料</w:t>
            </w:r>
          </w:p>
        </w:tc>
        <w:tc>
          <w:tcPr>
            <w:tcW w:w="6637" w:type="dxa"/>
            <w:gridSpan w:val="3"/>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梳理后经办所需材料</w:t>
            </w:r>
          </w:p>
        </w:tc>
        <w:tc>
          <w:tcPr>
            <w:tcW w:w="1666" w:type="dxa"/>
            <w:gridSpan w:val="2"/>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办理时限</w:t>
            </w:r>
          </w:p>
        </w:tc>
        <w:tc>
          <w:tcPr>
            <w:tcW w:w="958"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是否实现跑零次</w:t>
            </w:r>
          </w:p>
        </w:tc>
        <w:tc>
          <w:tcPr>
            <w:tcW w:w="1104"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省厅对口</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指导处室</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w:t>
            </w:r>
          </w:p>
        </w:tc>
        <w:tc>
          <w:tcPr>
            <w:tcW w:w="764" w:type="dxa"/>
            <w:vMerge w:val="restart"/>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进一步精简、</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规范建议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250" w:type="dxa"/>
            <w:vMerge w:val="continue"/>
            <w:vAlign w:val="center"/>
          </w:tcPr>
          <w:p>
            <w:pPr>
              <w:rPr>
                <w:rFonts w:hint="eastAsia" w:ascii="仿宋_GB2312" w:hAnsi="仿宋_GB2312" w:eastAsia="仿宋_GB2312" w:cs="仿宋_GB2312"/>
                <w:szCs w:val="21"/>
              </w:rPr>
            </w:pPr>
          </w:p>
        </w:tc>
        <w:tc>
          <w:tcPr>
            <w:tcW w:w="809" w:type="dxa"/>
            <w:vMerge w:val="continue"/>
          </w:tcPr>
          <w:p>
            <w:pPr>
              <w:rPr>
                <w:rFonts w:hint="eastAsia" w:ascii="仿宋_GB2312" w:hAnsi="仿宋_GB2312" w:eastAsia="仿宋_GB2312" w:cs="仿宋_GB2312"/>
                <w:szCs w:val="21"/>
              </w:rPr>
            </w:pPr>
          </w:p>
        </w:tc>
        <w:tc>
          <w:tcPr>
            <w:tcW w:w="1701" w:type="dxa"/>
            <w:vMerge w:val="continue"/>
          </w:tcPr>
          <w:p>
            <w:pPr>
              <w:rPr>
                <w:rFonts w:hint="eastAsia" w:ascii="仿宋_GB2312" w:hAnsi="仿宋_GB2312" w:eastAsia="仿宋_GB2312" w:cs="仿宋_GB2312"/>
                <w:szCs w:val="21"/>
              </w:rPr>
            </w:pPr>
          </w:p>
        </w:tc>
        <w:tc>
          <w:tcPr>
            <w:tcW w:w="3260" w:type="dxa"/>
            <w:tcBorders>
              <w:bottom w:val="single" w:color="auto" w:sz="4" w:space="0"/>
            </w:tcBorders>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材料明细</w:t>
            </w:r>
          </w:p>
        </w:tc>
        <w:tc>
          <w:tcPr>
            <w:tcW w:w="1843"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材料来源</w:t>
            </w:r>
          </w:p>
        </w:tc>
        <w:tc>
          <w:tcPr>
            <w:tcW w:w="2126"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材料明细</w:t>
            </w:r>
          </w:p>
        </w:tc>
        <w:tc>
          <w:tcPr>
            <w:tcW w:w="1559"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材料来源</w:t>
            </w:r>
          </w:p>
        </w:tc>
        <w:tc>
          <w:tcPr>
            <w:tcW w:w="2952"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办理方式及材料</w:t>
            </w:r>
          </w:p>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信息获取方式说明</w:t>
            </w:r>
          </w:p>
        </w:tc>
        <w:tc>
          <w:tcPr>
            <w:tcW w:w="868"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优化前</w:t>
            </w:r>
          </w:p>
        </w:tc>
        <w:tc>
          <w:tcPr>
            <w:tcW w:w="798" w:type="dxa"/>
            <w:vAlign w:val="center"/>
          </w:tcPr>
          <w:p>
            <w:pPr>
              <w:spacing w:line="2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优化后</w:t>
            </w:r>
          </w:p>
        </w:tc>
        <w:tc>
          <w:tcPr>
            <w:tcW w:w="958" w:type="dxa"/>
            <w:vMerge w:val="continue"/>
            <w:vAlign w:val="center"/>
          </w:tcPr>
          <w:p>
            <w:pPr>
              <w:rPr>
                <w:rFonts w:hint="eastAsia" w:ascii="仿宋_GB2312" w:hAnsi="仿宋_GB2312" w:eastAsia="仿宋_GB2312" w:cs="仿宋_GB2312"/>
                <w:szCs w:val="21"/>
              </w:rPr>
            </w:pPr>
          </w:p>
        </w:tc>
        <w:tc>
          <w:tcPr>
            <w:tcW w:w="1104" w:type="dxa"/>
            <w:vMerge w:val="continue"/>
            <w:vAlign w:val="center"/>
          </w:tcPr>
          <w:p>
            <w:pPr>
              <w:rPr>
                <w:rFonts w:hint="eastAsia" w:ascii="仿宋_GB2312" w:hAnsi="仿宋_GB2312" w:eastAsia="仿宋_GB2312" w:cs="仿宋_GB2312"/>
                <w:szCs w:val="21"/>
              </w:rPr>
            </w:pPr>
          </w:p>
        </w:tc>
        <w:tc>
          <w:tcPr>
            <w:tcW w:w="764" w:type="dxa"/>
            <w:vMerge w:val="continue"/>
            <w:vAlign w:val="center"/>
          </w:tcPr>
          <w:p>
            <w:pPr>
              <w:rPr>
                <w:rFonts w:hint="eastAsia" w:ascii="仿宋_GB2312" w:hAnsi="仿宋_GB2312" w:eastAsia="仿宋_GB2312" w:cs="仿宋_GB231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352" w:hRule="atLeast"/>
          <w:jc w:val="center"/>
        </w:trPr>
        <w:tc>
          <w:tcPr>
            <w:tcW w:w="1250" w:type="dxa"/>
            <w:vMerge w:val="restart"/>
            <w:vAlign w:val="center"/>
          </w:tcPr>
          <w:p>
            <w:pPr>
              <w:spacing w:line="300" w:lineRule="exact"/>
              <w:jc w:val="lef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lang w:val="en-US" w:eastAsia="zh-CN"/>
              </w:rPr>
              <w:t>2.</w:t>
            </w:r>
            <w:r>
              <w:rPr>
                <w:rFonts w:hint="eastAsia" w:ascii="仿宋_GB2312" w:hAnsi="仿宋_GB2312" w:eastAsia="仿宋_GB2312" w:cs="仿宋_GB2312"/>
                <w:color w:val="000000"/>
                <w:szCs w:val="21"/>
              </w:rPr>
              <w:t>对申请人不服法律援助机构作出的不符合法律援助条件的通知的异议审查（其他-01296-000）</w:t>
            </w:r>
          </w:p>
        </w:tc>
        <w:tc>
          <w:tcPr>
            <w:tcW w:w="809" w:type="dxa"/>
            <w:vMerge w:val="restart"/>
            <w:vAlign w:val="center"/>
          </w:tcPr>
          <w:p>
            <w:pPr>
              <w:spacing w:line="310" w:lineRule="exact"/>
              <w:jc w:val="lef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无</w:t>
            </w:r>
          </w:p>
        </w:tc>
        <w:tc>
          <w:tcPr>
            <w:tcW w:w="1701" w:type="dxa"/>
            <w:vMerge w:val="restart"/>
            <w:vAlign w:val="center"/>
          </w:tcPr>
          <w:p>
            <w:pPr>
              <w:spacing w:line="31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 xml:space="preserve"> 国务院《法律援助条例》第十九条</w:t>
            </w:r>
          </w:p>
        </w:tc>
        <w:tc>
          <w:tcPr>
            <w:tcW w:w="3260" w:type="dxa"/>
            <w:tcBorders>
              <w:top w:val="single" w:color="auto" w:sz="4" w:space="0"/>
              <w:bottom w:val="single" w:color="auto" w:sz="4" w:space="0"/>
            </w:tcBorders>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 法律援助异议审查申请书原件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p>
        </w:tc>
        <w:tc>
          <w:tcPr>
            <w:tcW w:w="1843" w:type="dxa"/>
            <w:vAlign w:val="center"/>
          </w:tcPr>
          <w:p>
            <w:pPr>
              <w:spacing w:line="300" w:lineRule="exact"/>
              <w:ind w:firstLine="210" w:firstLineChars="100"/>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自行提交</w:t>
            </w:r>
          </w:p>
        </w:tc>
        <w:tc>
          <w:tcPr>
            <w:tcW w:w="2126" w:type="dxa"/>
            <w:tcBorders>
              <w:bottom w:val="single" w:color="auto" w:sz="4" w:space="0"/>
            </w:tcBorders>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 法律援助异议审查申请书（纸质文书</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p>
        </w:tc>
        <w:tc>
          <w:tcPr>
            <w:tcW w:w="1559" w:type="dxa"/>
            <w:tcBorders>
              <w:bottom w:val="single" w:color="auto" w:sz="4" w:space="0"/>
            </w:tcBorders>
            <w:vAlign w:val="center"/>
          </w:tcPr>
          <w:p>
            <w:pPr>
              <w:spacing w:line="300" w:lineRule="exact"/>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自行提交</w:t>
            </w:r>
          </w:p>
          <w:p>
            <w:pPr>
              <w:rPr>
                <w:rFonts w:hint="eastAsia" w:ascii="仿宋_GB2312" w:hAnsi="仿宋_GB2312" w:eastAsia="仿宋_GB2312" w:cs="仿宋_GB2312"/>
                <w:color w:val="000000"/>
                <w:szCs w:val="21"/>
              </w:rPr>
            </w:pPr>
          </w:p>
        </w:tc>
        <w:tc>
          <w:tcPr>
            <w:tcW w:w="2952" w:type="dxa"/>
            <w:tcBorders>
              <w:bottom w:val="single" w:color="auto" w:sz="4" w:space="0"/>
            </w:tcBorders>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现场办理：申请人至法律援助机构现场提交法律援助异议审查申请书</w:t>
            </w:r>
          </w:p>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bCs/>
                <w:color w:val="000000"/>
                <w:szCs w:val="21"/>
              </w:rPr>
              <w:t>邮寄办理：</w:t>
            </w:r>
            <w:r>
              <w:rPr>
                <w:rFonts w:hint="eastAsia" w:ascii="仿宋_GB2312" w:hAnsi="仿宋_GB2312" w:eastAsia="仿宋_GB2312" w:cs="仿宋_GB2312"/>
                <w:color w:val="000000"/>
                <w:szCs w:val="21"/>
              </w:rPr>
              <w:t>申请人通过邮寄方式向法律援助机构现场提交法律援助异议审查申请书。</w:t>
            </w:r>
          </w:p>
        </w:tc>
        <w:tc>
          <w:tcPr>
            <w:tcW w:w="868" w:type="dxa"/>
            <w:vMerge w:val="restart"/>
            <w:vAlign w:val="center"/>
          </w:tcPr>
          <w:p>
            <w:pPr>
              <w:spacing w:line="300" w:lineRule="exact"/>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5个</w:t>
            </w:r>
          </w:p>
          <w:p>
            <w:pPr>
              <w:spacing w:line="300" w:lineRule="exact"/>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工作日</w:t>
            </w:r>
          </w:p>
        </w:tc>
        <w:tc>
          <w:tcPr>
            <w:tcW w:w="798" w:type="dxa"/>
            <w:vMerge w:val="restart"/>
            <w:vAlign w:val="center"/>
          </w:tcPr>
          <w:p>
            <w:pPr>
              <w:spacing w:line="300" w:lineRule="exact"/>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4个</w:t>
            </w:r>
          </w:p>
          <w:p>
            <w:pPr>
              <w:spacing w:line="300" w:lineRule="exact"/>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工作日</w:t>
            </w:r>
          </w:p>
        </w:tc>
        <w:tc>
          <w:tcPr>
            <w:tcW w:w="958" w:type="dxa"/>
            <w:vMerge w:val="restart"/>
            <w:vAlign w:val="center"/>
          </w:tcPr>
          <w:p>
            <w:pPr>
              <w:spacing w:line="300" w:lineRule="exact"/>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是</w:t>
            </w:r>
          </w:p>
        </w:tc>
        <w:tc>
          <w:tcPr>
            <w:tcW w:w="1104" w:type="dxa"/>
            <w:vMerge w:val="restart"/>
            <w:vAlign w:val="center"/>
          </w:tcPr>
          <w:p>
            <w:pPr>
              <w:spacing w:line="300" w:lineRule="exact"/>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厅法律援助工作处</w:t>
            </w:r>
          </w:p>
        </w:tc>
        <w:tc>
          <w:tcPr>
            <w:tcW w:w="764" w:type="dxa"/>
            <w:vMerge w:val="restart"/>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2270" w:hRule="atLeast"/>
          <w:jc w:val="center"/>
        </w:trPr>
        <w:tc>
          <w:tcPr>
            <w:tcW w:w="1250" w:type="dxa"/>
            <w:vMerge w:val="continue"/>
            <w:textDirection w:val="tbRlV"/>
            <w:vAlign w:val="center"/>
          </w:tcPr>
          <w:p>
            <w:pPr>
              <w:rPr>
                <w:rFonts w:hint="eastAsia" w:ascii="仿宋_GB2312" w:hAnsi="仿宋_GB2312" w:eastAsia="仿宋_GB2312" w:cs="仿宋_GB2312"/>
                <w:color w:val="000000"/>
                <w:szCs w:val="21"/>
              </w:rPr>
            </w:pPr>
          </w:p>
        </w:tc>
        <w:tc>
          <w:tcPr>
            <w:tcW w:w="809" w:type="dxa"/>
            <w:vMerge w:val="continue"/>
            <w:vAlign w:val="center"/>
          </w:tcPr>
          <w:p>
            <w:pPr>
              <w:rPr>
                <w:rFonts w:hint="eastAsia" w:ascii="仿宋_GB2312" w:hAnsi="仿宋_GB2312" w:eastAsia="仿宋_GB2312" w:cs="仿宋_GB2312"/>
                <w:color w:val="000000"/>
                <w:szCs w:val="21"/>
              </w:rPr>
            </w:pPr>
          </w:p>
        </w:tc>
        <w:tc>
          <w:tcPr>
            <w:tcW w:w="1701" w:type="dxa"/>
            <w:vMerge w:val="continue"/>
            <w:vAlign w:val="center"/>
          </w:tcPr>
          <w:p>
            <w:pPr>
              <w:rPr>
                <w:rFonts w:hint="eastAsia" w:ascii="仿宋_GB2312" w:hAnsi="仿宋_GB2312" w:eastAsia="仿宋_GB2312" w:cs="仿宋_GB2312"/>
                <w:color w:val="000000"/>
                <w:szCs w:val="21"/>
              </w:rPr>
            </w:pPr>
          </w:p>
        </w:tc>
        <w:tc>
          <w:tcPr>
            <w:tcW w:w="3260" w:type="dxa"/>
            <w:tcBorders>
              <w:top w:val="single" w:color="auto" w:sz="4" w:space="0"/>
            </w:tcBorders>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2. 身份证或者其他有效的身份证明复印件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p>
        </w:tc>
        <w:tc>
          <w:tcPr>
            <w:tcW w:w="1843" w:type="dxa"/>
            <w:vAlign w:val="center"/>
          </w:tcPr>
          <w:p>
            <w:pPr>
              <w:ind w:firstLine="315" w:firstLineChars="150"/>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自行提交</w:t>
            </w:r>
          </w:p>
        </w:tc>
        <w:tc>
          <w:tcPr>
            <w:tcW w:w="2126" w:type="dxa"/>
            <w:tcBorders>
              <w:top w:val="single" w:color="auto" w:sz="4" w:space="0"/>
            </w:tcBorders>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2. 身份证或者其他有效的身份证明（复印件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p>
        </w:tc>
        <w:tc>
          <w:tcPr>
            <w:tcW w:w="1559" w:type="dxa"/>
            <w:tcBorders>
              <w:top w:val="single" w:color="auto" w:sz="4" w:space="0"/>
            </w:tcBorders>
            <w:vAlign w:val="center"/>
          </w:tcPr>
          <w:p>
            <w:pPr>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内部共享</w:t>
            </w:r>
          </w:p>
        </w:tc>
        <w:tc>
          <w:tcPr>
            <w:tcW w:w="2952" w:type="dxa"/>
            <w:tcBorders>
              <w:top w:val="single" w:color="auto" w:sz="4" w:space="0"/>
              <w:bottom w:val="single" w:color="auto" w:sz="4" w:space="0"/>
            </w:tcBorders>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内部共享：由所属法律援助机构提供</w:t>
            </w:r>
          </w:p>
        </w:tc>
        <w:tc>
          <w:tcPr>
            <w:tcW w:w="868" w:type="dxa"/>
            <w:vMerge w:val="continue"/>
            <w:vAlign w:val="center"/>
          </w:tcPr>
          <w:p>
            <w:pPr>
              <w:rPr>
                <w:rFonts w:hint="eastAsia" w:ascii="仿宋_GB2312" w:hAnsi="仿宋_GB2312" w:eastAsia="仿宋_GB2312" w:cs="仿宋_GB2312"/>
                <w:color w:val="000000"/>
                <w:szCs w:val="21"/>
              </w:rPr>
            </w:pPr>
          </w:p>
        </w:tc>
        <w:tc>
          <w:tcPr>
            <w:tcW w:w="798" w:type="dxa"/>
            <w:vMerge w:val="continue"/>
            <w:vAlign w:val="center"/>
          </w:tcPr>
          <w:p>
            <w:pPr>
              <w:rPr>
                <w:rFonts w:hint="eastAsia" w:ascii="仿宋_GB2312" w:hAnsi="仿宋_GB2312" w:eastAsia="仿宋_GB2312" w:cs="仿宋_GB2312"/>
                <w:color w:val="000000"/>
                <w:szCs w:val="21"/>
              </w:rPr>
            </w:pPr>
          </w:p>
        </w:tc>
        <w:tc>
          <w:tcPr>
            <w:tcW w:w="958" w:type="dxa"/>
            <w:vMerge w:val="continue"/>
            <w:vAlign w:val="center"/>
          </w:tcPr>
          <w:p>
            <w:pPr>
              <w:rPr>
                <w:rFonts w:hint="eastAsia" w:ascii="仿宋_GB2312" w:hAnsi="仿宋_GB2312" w:eastAsia="仿宋_GB2312" w:cs="仿宋_GB2312"/>
                <w:color w:val="000000"/>
                <w:szCs w:val="21"/>
              </w:rPr>
            </w:pPr>
          </w:p>
        </w:tc>
        <w:tc>
          <w:tcPr>
            <w:tcW w:w="1104" w:type="dxa"/>
            <w:vMerge w:val="continue"/>
            <w:vAlign w:val="center"/>
          </w:tcPr>
          <w:p>
            <w:pPr>
              <w:rPr>
                <w:rFonts w:hint="eastAsia" w:ascii="仿宋_GB2312" w:hAnsi="仿宋_GB2312" w:eastAsia="仿宋_GB2312" w:cs="仿宋_GB2312"/>
                <w:color w:val="000000"/>
                <w:szCs w:val="21"/>
              </w:rPr>
            </w:pPr>
          </w:p>
        </w:tc>
        <w:tc>
          <w:tcPr>
            <w:tcW w:w="764" w:type="dxa"/>
            <w:vMerge w:val="continue"/>
            <w:vAlign w:val="center"/>
          </w:tcPr>
          <w:p>
            <w:pPr>
              <w:rPr>
                <w:rFonts w:hint="eastAsia" w:ascii="仿宋_GB2312" w:hAnsi="仿宋_GB2312" w:eastAsia="仿宋_GB2312" w:cs="仿宋_GB2312"/>
                <w:color w:val="00000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952" w:hRule="atLeast"/>
          <w:jc w:val="center"/>
        </w:trPr>
        <w:tc>
          <w:tcPr>
            <w:tcW w:w="1250" w:type="dxa"/>
            <w:vMerge w:val="continue"/>
            <w:textDirection w:val="tbRlV"/>
            <w:vAlign w:val="center"/>
          </w:tcPr>
          <w:p>
            <w:pPr>
              <w:rPr>
                <w:rFonts w:hint="eastAsia" w:ascii="仿宋_GB2312" w:hAnsi="仿宋_GB2312" w:eastAsia="仿宋_GB2312" w:cs="仿宋_GB2312"/>
                <w:color w:val="000000"/>
                <w:szCs w:val="21"/>
              </w:rPr>
            </w:pPr>
          </w:p>
        </w:tc>
        <w:tc>
          <w:tcPr>
            <w:tcW w:w="809" w:type="dxa"/>
            <w:vMerge w:val="continue"/>
            <w:vAlign w:val="center"/>
          </w:tcPr>
          <w:p>
            <w:pPr>
              <w:rPr>
                <w:rFonts w:hint="eastAsia" w:ascii="仿宋_GB2312" w:hAnsi="仿宋_GB2312" w:eastAsia="仿宋_GB2312" w:cs="仿宋_GB2312"/>
                <w:color w:val="000000"/>
                <w:szCs w:val="21"/>
              </w:rPr>
            </w:pPr>
          </w:p>
        </w:tc>
        <w:tc>
          <w:tcPr>
            <w:tcW w:w="1701" w:type="dxa"/>
            <w:vMerge w:val="continue"/>
            <w:vAlign w:val="center"/>
          </w:tcPr>
          <w:p>
            <w:pPr>
              <w:rPr>
                <w:rFonts w:hint="eastAsia" w:ascii="仿宋_GB2312" w:hAnsi="仿宋_GB2312" w:eastAsia="仿宋_GB2312" w:cs="仿宋_GB2312"/>
                <w:color w:val="000000"/>
                <w:szCs w:val="21"/>
              </w:rPr>
            </w:pPr>
          </w:p>
        </w:tc>
        <w:tc>
          <w:tcPr>
            <w:tcW w:w="3260" w:type="dxa"/>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3.《不予法律援助决定书》复印件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p>
        </w:tc>
        <w:tc>
          <w:tcPr>
            <w:tcW w:w="1843" w:type="dxa"/>
            <w:vAlign w:val="center"/>
          </w:tcPr>
          <w:p>
            <w:pP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法律援助机构</w:t>
            </w:r>
          </w:p>
        </w:tc>
        <w:tc>
          <w:tcPr>
            <w:tcW w:w="2126" w:type="dxa"/>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3.《不予法律援助决定书》（复印件</w:t>
            </w:r>
            <w:r>
              <w:rPr>
                <w:rFonts w:hint="eastAsia" w:ascii="仿宋_GB2312" w:hAnsi="仿宋_GB2312" w:eastAsia="仿宋_GB2312" w:cs="仿宋_GB2312"/>
                <w:color w:val="000000"/>
                <w:szCs w:val="21"/>
                <w:lang w:eastAsia="zh-CN"/>
              </w:rPr>
              <w:t>1</w:t>
            </w:r>
            <w:r>
              <w:rPr>
                <w:rFonts w:hint="eastAsia" w:ascii="仿宋_GB2312" w:hAnsi="仿宋_GB2312" w:eastAsia="仿宋_GB2312" w:cs="仿宋_GB2312"/>
                <w:color w:val="000000"/>
                <w:szCs w:val="21"/>
              </w:rPr>
              <w:t>份）。</w:t>
            </w:r>
          </w:p>
        </w:tc>
        <w:tc>
          <w:tcPr>
            <w:tcW w:w="1559" w:type="dxa"/>
            <w:vAlign w:val="center"/>
          </w:tcPr>
          <w:p>
            <w:pPr>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内部共享</w:t>
            </w:r>
          </w:p>
        </w:tc>
        <w:tc>
          <w:tcPr>
            <w:tcW w:w="2952" w:type="dxa"/>
            <w:tcBorders>
              <w:top w:val="single" w:color="auto" w:sz="4" w:space="0"/>
            </w:tcBorders>
            <w:vAlign w:val="center"/>
          </w:tcPr>
          <w:p>
            <w:pPr>
              <w:spacing w:line="300" w:lineRule="exact"/>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内部共享：由所属法律援助机构提供</w:t>
            </w:r>
          </w:p>
        </w:tc>
        <w:tc>
          <w:tcPr>
            <w:tcW w:w="868" w:type="dxa"/>
            <w:vMerge w:val="continue"/>
            <w:vAlign w:val="center"/>
          </w:tcPr>
          <w:p>
            <w:pPr>
              <w:rPr>
                <w:rFonts w:hint="eastAsia" w:ascii="仿宋_GB2312" w:hAnsi="仿宋_GB2312" w:eastAsia="仿宋_GB2312" w:cs="仿宋_GB2312"/>
                <w:color w:val="000000"/>
                <w:szCs w:val="21"/>
              </w:rPr>
            </w:pPr>
          </w:p>
        </w:tc>
        <w:tc>
          <w:tcPr>
            <w:tcW w:w="798" w:type="dxa"/>
            <w:vMerge w:val="continue"/>
            <w:vAlign w:val="center"/>
          </w:tcPr>
          <w:p>
            <w:pPr>
              <w:rPr>
                <w:rFonts w:hint="eastAsia" w:ascii="仿宋_GB2312" w:hAnsi="仿宋_GB2312" w:eastAsia="仿宋_GB2312" w:cs="仿宋_GB2312"/>
                <w:color w:val="000000"/>
                <w:szCs w:val="21"/>
              </w:rPr>
            </w:pPr>
          </w:p>
        </w:tc>
        <w:tc>
          <w:tcPr>
            <w:tcW w:w="958" w:type="dxa"/>
            <w:vMerge w:val="continue"/>
            <w:vAlign w:val="center"/>
          </w:tcPr>
          <w:p>
            <w:pPr>
              <w:rPr>
                <w:rFonts w:hint="eastAsia" w:ascii="仿宋_GB2312" w:hAnsi="仿宋_GB2312" w:eastAsia="仿宋_GB2312" w:cs="仿宋_GB2312"/>
                <w:color w:val="000000"/>
                <w:szCs w:val="21"/>
              </w:rPr>
            </w:pPr>
          </w:p>
        </w:tc>
        <w:tc>
          <w:tcPr>
            <w:tcW w:w="1104" w:type="dxa"/>
            <w:vMerge w:val="continue"/>
            <w:vAlign w:val="center"/>
          </w:tcPr>
          <w:p>
            <w:pPr>
              <w:rPr>
                <w:rFonts w:hint="eastAsia" w:ascii="仿宋_GB2312" w:hAnsi="仿宋_GB2312" w:eastAsia="仿宋_GB2312" w:cs="仿宋_GB2312"/>
                <w:color w:val="000000"/>
                <w:szCs w:val="21"/>
              </w:rPr>
            </w:pPr>
          </w:p>
        </w:tc>
        <w:tc>
          <w:tcPr>
            <w:tcW w:w="764" w:type="dxa"/>
            <w:vMerge w:val="continue"/>
            <w:vAlign w:val="center"/>
          </w:tcPr>
          <w:p>
            <w:pPr>
              <w:rPr>
                <w:rFonts w:hint="eastAsia" w:ascii="仿宋_GB2312" w:hAnsi="仿宋_GB2312" w:eastAsia="仿宋_GB2312" w:cs="仿宋_GB2312"/>
                <w:color w:val="000000"/>
                <w:szCs w:val="21"/>
              </w:rPr>
            </w:pPr>
          </w:p>
        </w:tc>
      </w:tr>
    </w:tbl>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rPr>
      </w:pPr>
    </w:p>
    <w:p>
      <w:pPr>
        <w:rPr>
          <w:rFonts w:hint="eastAsia" w:ascii="仿宋_GB2312" w:hAnsi="仿宋_GB2312" w:eastAsia="仿宋_GB2312" w:cs="仿宋_GB2312"/>
          <w:spacing w:val="-20"/>
          <w:w w:val="96"/>
          <w:lang w:val="en-US" w:eastAsia="zh-CN"/>
        </w:rPr>
      </w:pPr>
    </w:p>
    <w:sectPr>
      <w:footerReference r:id="rId3" w:type="default"/>
      <w:pgSz w:w="23757" w:h="16783"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0C3"/>
    <w:rsid w:val="000941B1"/>
    <w:rsid w:val="003F70C3"/>
    <w:rsid w:val="005C6D2D"/>
    <w:rsid w:val="00945EB4"/>
    <w:rsid w:val="00C303F1"/>
    <w:rsid w:val="02A74AC4"/>
    <w:rsid w:val="03141AB4"/>
    <w:rsid w:val="03E63D92"/>
    <w:rsid w:val="03E713E2"/>
    <w:rsid w:val="05D269C8"/>
    <w:rsid w:val="08215DF5"/>
    <w:rsid w:val="085964CF"/>
    <w:rsid w:val="08AB2B47"/>
    <w:rsid w:val="092E2E02"/>
    <w:rsid w:val="0964368D"/>
    <w:rsid w:val="09B764BA"/>
    <w:rsid w:val="0A6950FF"/>
    <w:rsid w:val="0AA66CC4"/>
    <w:rsid w:val="0B817415"/>
    <w:rsid w:val="0C7B7436"/>
    <w:rsid w:val="0CB47FCE"/>
    <w:rsid w:val="0CD8595E"/>
    <w:rsid w:val="0EC92AF6"/>
    <w:rsid w:val="0F56481E"/>
    <w:rsid w:val="0FB03AF7"/>
    <w:rsid w:val="0FC77DF8"/>
    <w:rsid w:val="0FCC7CD5"/>
    <w:rsid w:val="1393083F"/>
    <w:rsid w:val="13E21153"/>
    <w:rsid w:val="14214B98"/>
    <w:rsid w:val="15150C65"/>
    <w:rsid w:val="15C1393F"/>
    <w:rsid w:val="160F1A56"/>
    <w:rsid w:val="172A5666"/>
    <w:rsid w:val="17C04173"/>
    <w:rsid w:val="188E382D"/>
    <w:rsid w:val="18A71E19"/>
    <w:rsid w:val="19916068"/>
    <w:rsid w:val="1CC03544"/>
    <w:rsid w:val="1D664F6A"/>
    <w:rsid w:val="1EE36457"/>
    <w:rsid w:val="20BD1EEF"/>
    <w:rsid w:val="243F6BE1"/>
    <w:rsid w:val="246516D2"/>
    <w:rsid w:val="25F72B2F"/>
    <w:rsid w:val="273A6008"/>
    <w:rsid w:val="29BE04D4"/>
    <w:rsid w:val="2A4B260A"/>
    <w:rsid w:val="2A9D2EB7"/>
    <w:rsid w:val="2B390957"/>
    <w:rsid w:val="2B51277A"/>
    <w:rsid w:val="2E242697"/>
    <w:rsid w:val="2E8B609B"/>
    <w:rsid w:val="312018BE"/>
    <w:rsid w:val="32E46CF7"/>
    <w:rsid w:val="337B2D2A"/>
    <w:rsid w:val="33BC4E2A"/>
    <w:rsid w:val="357326B8"/>
    <w:rsid w:val="37764701"/>
    <w:rsid w:val="399E1FC2"/>
    <w:rsid w:val="3B7B60AE"/>
    <w:rsid w:val="3C2211AA"/>
    <w:rsid w:val="3C2C1B36"/>
    <w:rsid w:val="3C846785"/>
    <w:rsid w:val="3D823C65"/>
    <w:rsid w:val="3E1F1CB9"/>
    <w:rsid w:val="409327DE"/>
    <w:rsid w:val="41462345"/>
    <w:rsid w:val="42721D88"/>
    <w:rsid w:val="43F135B8"/>
    <w:rsid w:val="46473E10"/>
    <w:rsid w:val="47490D13"/>
    <w:rsid w:val="47865A4F"/>
    <w:rsid w:val="47993957"/>
    <w:rsid w:val="48E778AF"/>
    <w:rsid w:val="49006083"/>
    <w:rsid w:val="491B3704"/>
    <w:rsid w:val="4A3915BC"/>
    <w:rsid w:val="4AF25F2A"/>
    <w:rsid w:val="4B870D57"/>
    <w:rsid w:val="4BDA5050"/>
    <w:rsid w:val="4CEC2129"/>
    <w:rsid w:val="4E2D1079"/>
    <w:rsid w:val="4F645474"/>
    <w:rsid w:val="538B682E"/>
    <w:rsid w:val="55F96CC4"/>
    <w:rsid w:val="589E73B2"/>
    <w:rsid w:val="58E03CC1"/>
    <w:rsid w:val="5B1F4C35"/>
    <w:rsid w:val="5C747387"/>
    <w:rsid w:val="5E1C1FB5"/>
    <w:rsid w:val="5E5772E3"/>
    <w:rsid w:val="5EE335BC"/>
    <w:rsid w:val="5EF713A7"/>
    <w:rsid w:val="60534891"/>
    <w:rsid w:val="62EF11E2"/>
    <w:rsid w:val="634704FB"/>
    <w:rsid w:val="636D22FC"/>
    <w:rsid w:val="64210640"/>
    <w:rsid w:val="64AD6C42"/>
    <w:rsid w:val="64CE7F5E"/>
    <w:rsid w:val="65DB3D59"/>
    <w:rsid w:val="666C2815"/>
    <w:rsid w:val="66CE13E7"/>
    <w:rsid w:val="672B5D49"/>
    <w:rsid w:val="67C26169"/>
    <w:rsid w:val="69016A22"/>
    <w:rsid w:val="6BD36F97"/>
    <w:rsid w:val="6BF9547C"/>
    <w:rsid w:val="6C0325DB"/>
    <w:rsid w:val="6D33323B"/>
    <w:rsid w:val="6D962715"/>
    <w:rsid w:val="6E20643D"/>
    <w:rsid w:val="6F4C405C"/>
    <w:rsid w:val="6F7A35F8"/>
    <w:rsid w:val="70642587"/>
    <w:rsid w:val="73512BD3"/>
    <w:rsid w:val="747B3098"/>
    <w:rsid w:val="758A6289"/>
    <w:rsid w:val="792D255B"/>
    <w:rsid w:val="7D4F5224"/>
    <w:rsid w:val="7E8A3362"/>
    <w:rsid w:val="7F3675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annotation reference"/>
    <w:qFormat/>
    <w:uiPriority w:val="0"/>
    <w:rPr>
      <w:sz w:val="21"/>
      <w:szCs w:val="21"/>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批注框文本 字符"/>
    <w:basedOn w:val="6"/>
    <w:link w:val="3"/>
    <w:qFormat/>
    <w:uiPriority w:val="0"/>
    <w:rPr>
      <w:rFonts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6629</Words>
  <Characters>37787</Characters>
  <Lines>314</Lines>
  <Paragraphs>88</Paragraphs>
  <ScaleCrop>false</ScaleCrop>
  <LinksUpToDate>false</LinksUpToDate>
  <CharactersWithSpaces>44328</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think</dc:creator>
  <cp:lastModifiedBy>徐佳治(xujz)</cp:lastModifiedBy>
  <dcterms:modified xsi:type="dcterms:W3CDTF">2018-03-19T03:30:35Z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